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393d1_8k.htm"/>
      <w:bookmarkStart w:id="1" w:name="kstm2624393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9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31850" cy="4114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1850" cy="41148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4_edei--EntityRegistrantName_c2026"/>
      <w:bookmarkEnd w:id="4"/>
      <w:r>
        <w:rPr>
          <w:rFonts w:ascii="Times New Roman;Times;Serif" w:hAnsi="Times New Roman;Times;Serif"/>
          <w:b/>
          <w:i w:val="false"/>
          <w:caps w:val="false"/>
          <w:smallCaps w:val="false"/>
          <w:sz w:val="28"/>
        </w:rPr>
        <w:t>MOHAWK INDUSTRIES,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0" w:type="dxa"/>
          <w:right w:w="0" w:type="dxa"/>
        </w:tblCellMar>
      </w:tblPr>
      <w:tblGrid>
        <w:gridCol w:w="3530"/>
        <w:gridCol w:w="2300"/>
        <w:gridCol w:w="1655"/>
      </w:tblGrid>
      <w:tr>
        <w:trPr/>
        <w:tc>
          <w:tcPr>
            <w:tcW w:w="3530" w:type="dxa"/>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Delaware</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1_edei--EntityFileNumber_c20260901"/>
            <w:bookmarkEnd w:id="6"/>
            <w:r>
              <w:rPr>
                <w:rFonts w:ascii="Times New Roman;Times;Serif" w:hAnsi="Times New Roman;Times;Serif"/>
                <w:b/>
                <w:sz w:val="20"/>
              </w:rPr>
              <w:t>01-13697</w:t>
            </w:r>
          </w:p>
        </w:tc>
        <w:tc>
          <w:tcPr>
            <w:tcW w:w="1655"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52-1604305</w:t>
            </w:r>
          </w:p>
        </w:tc>
      </w:tr>
      <w:tr>
        <w:trPr/>
        <w:tc>
          <w:tcPr>
            <w:tcW w:w="3530" w:type="dxa"/>
            <w:tcBorders/>
            <w:vAlign w:val="center"/>
          </w:tcPr>
          <w:p>
            <w:pPr>
              <w:pStyle w:val="TableContents"/>
              <w:bidi w:val="0"/>
              <w:spacing w:before="0" w:after="283"/>
              <w:jc w:val="center"/>
              <w:rPr>
                <w:sz w:val="20"/>
              </w:rPr>
            </w:pPr>
            <w:r>
              <w:rPr>
                <w:b/>
                <w:sz w:val="20"/>
              </w:rPr>
              <w:t>(State or other jurisdiction of</w:t>
              <w:br/>
              <w:t>incorporation or organization)</w:t>
            </w:r>
            <w:r>
              <w:rPr>
                <w:sz w:val="20"/>
              </w:rPr>
              <w:t xml:space="preserve">  </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1655" w:type="dxa"/>
            <w:tcBorders/>
            <w:vAlign w:val="center"/>
          </w:tcPr>
          <w:p>
            <w:pPr>
              <w:pStyle w:val="TableContents"/>
              <w:bidi w:val="0"/>
              <w:spacing w:before="0" w:after="283"/>
              <w:jc w:val="center"/>
              <w:rPr>
                <w:sz w:val="20"/>
              </w:rPr>
            </w:pPr>
            <w:r>
              <w:rPr>
                <w:b/>
                <w:sz w:val="20"/>
              </w:rPr>
              <w:t>(I.R.S. Employer</w:t>
              <w:br/>
              <w:t>Identification No.)</w:t>
            </w:r>
            <w:r>
              <w:rPr>
                <w:sz w:val="20"/>
              </w:rPr>
              <w:t xml:space="preserve">  </w:t>
            </w:r>
          </w:p>
        </w:tc>
      </w:tr>
      <w:tr>
        <w:trPr/>
        <w:tc>
          <w:tcPr>
            <w:tcW w:w="353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pPr>
            <w:r>
              <w:rPr/>
              <w:t> </w:t>
            </w:r>
          </w:p>
        </w:tc>
      </w:tr>
      <w:tr>
        <w:trPr/>
        <w:tc>
          <w:tcPr>
            <w:tcW w:w="3530" w:type="dxa"/>
            <w:tcBorders/>
            <w:vAlign w:val="center"/>
          </w:tcPr>
          <w:p>
            <w:pPr>
              <w:pStyle w:val="TableContents"/>
              <w:bidi w:val="0"/>
              <w:spacing w:before="0" w:after="283"/>
              <w:jc w:val="center"/>
              <w:rPr>
                <w:sz w:val="20"/>
              </w:rPr>
            </w:pPr>
            <w:bookmarkStart w:id="8" w:name="xdx_909_edei--EntityAddressAddressLine1_"/>
            <w:bookmarkEnd w:id="8"/>
            <w:r>
              <w:rPr>
                <w:rFonts w:ascii="Times New Roman;Times;Serif" w:hAnsi="Times New Roman;Times;Serif"/>
                <w:b/>
                <w:sz w:val="20"/>
              </w:rPr>
              <w:t>160 S. Industrial Blvd.</w:t>
            </w:r>
            <w:r>
              <w:rPr>
                <w:b/>
                <w:sz w:val="20"/>
              </w:rPr>
              <w:t>,</w:t>
            </w:r>
            <w:bookmarkStart w:id="9" w:name="xdx_909_edei--EntityAddressCityOrTown_c2"/>
            <w:bookmarkEnd w:id="9"/>
            <w:r>
              <w:rPr>
                <w:b/>
                <w:sz w:val="20"/>
              </w:rPr>
              <w:t xml:space="preserve"> Calhoun, </w:t>
            </w:r>
            <w:bookmarkStart w:id="10" w:name="xdx_90E_edei--EntityAddressStateOrProvin"/>
            <w:bookmarkEnd w:id="10"/>
            <w:r>
              <w:rPr>
                <w:b/>
                <w:sz w:val="20"/>
              </w:rPr>
              <w:t>Georgia</w:t>
            </w:r>
          </w:p>
        </w:tc>
        <w:tc>
          <w:tcPr>
            <w:tcW w:w="230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rFonts w:ascii="Times New Roman;Times;Serif" w:hAnsi="Times New Roman;Times;Serif"/>
                <w:b/>
                <w:sz w:val="20"/>
              </w:rPr>
            </w:pPr>
            <w:bookmarkStart w:id="11" w:name="xdx_902_edei--EntityAddressPostalZipCode"/>
            <w:bookmarkEnd w:id="11"/>
            <w:r>
              <w:rPr>
                <w:rFonts w:ascii="Times New Roman;Times;Serif" w:hAnsi="Times New Roman;Times;Serif"/>
                <w:b/>
                <w:sz w:val="20"/>
              </w:rPr>
              <w:t>30701</w:t>
            </w:r>
          </w:p>
        </w:tc>
      </w:tr>
      <w:tr>
        <w:trPr/>
        <w:tc>
          <w:tcPr>
            <w:tcW w:w="35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300" w:type="dxa"/>
            <w:tcBorders/>
            <w:vAlign w:val="center"/>
          </w:tcPr>
          <w:p>
            <w:pPr>
              <w:pStyle w:val="TableContents"/>
              <w:bidi w:val="0"/>
              <w:spacing w:before="0" w:after="283"/>
              <w:jc w:val="center"/>
              <w:rPr/>
            </w:pPr>
            <w:r>
              <w:rPr/>
              <w:t> </w:t>
            </w:r>
          </w:p>
        </w:tc>
        <w:tc>
          <w:tcPr>
            <w:tcW w:w="16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A_edei--CityAreaCode_c20260901__20"/>
      <w:bookmarkEnd w:id="12"/>
      <w:r>
        <w:rPr>
          <w:rFonts w:ascii="Times New Roman;Times;Serif" w:hAnsi="Times New Roman;Times;Serif"/>
          <w:b/>
          <w:i w:val="false"/>
          <w:caps w:val="false"/>
          <w:smallCaps w:val="false"/>
          <w:sz w:val="20"/>
        </w:rPr>
        <w:t>706) </w:t>
      </w:r>
      <w:bookmarkStart w:id="13" w:name="xdx_901_edei--LocalPhoneNumber_c20260901"/>
      <w:bookmarkEnd w:id="13"/>
      <w:r>
        <w:rPr>
          <w:rFonts w:ascii="Times New Roman;Times;Serif" w:hAnsi="Times New Roman;Times;Serif"/>
          <w:b/>
          <w:i w:val="false"/>
          <w:caps w:val="false"/>
          <w:smallCaps w:val="false"/>
          <w:sz w:val="20"/>
        </w:rPr>
        <w:t>629-7721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9960" w:type="dxa"/>
            <w:tcBorders/>
            <w:vAlign w:val="center"/>
          </w:tcPr>
          <w:p>
            <w:pPr>
              <w:pStyle w:val="TableContents"/>
              <w:bidi w:val="0"/>
              <w:spacing w:before="0" w:after="283"/>
              <w:jc w:val="both"/>
              <w:rPr/>
            </w:pPr>
            <w:r>
              <w:rPr/>
              <w:t>Written communication pursuant to Rule 425 under Securities Act (17 CFR 230.425)</w:t>
            </w:r>
          </w:p>
        </w:tc>
      </w:tr>
      <w:tr>
        <w:trPr/>
        <w:tc>
          <w:tcPr>
            <w:tcW w:w="245" w:type="dxa"/>
            <w:tcBorders/>
            <w:vAlign w:val="center"/>
          </w:tcPr>
          <w:p>
            <w:pPr>
              <w:pStyle w:val="TableContents"/>
              <w:bidi w:val="0"/>
              <w:spacing w:before="0" w:after="283"/>
              <w:jc w:val="left"/>
              <w:rPr/>
            </w:pPr>
            <w:bookmarkStart w:id="15" w:name="xdx_906_edei--SolicitingMaterial_c202609"/>
            <w:bookmarkEnd w:id="15"/>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(CFR 240.14d-2(b))</w:t>
            </w:r>
          </w:p>
        </w:tc>
      </w:tr>
      <w:tr>
        <w:trPr/>
        <w:tc>
          <w:tcPr>
            <w:tcW w:w="245" w:type="dxa"/>
            <w:tcBorders/>
            <w:vAlign w:val="center"/>
          </w:tcPr>
          <w:p>
            <w:pPr>
              <w:pStyle w:val="TableContents"/>
              <w:bidi w:val="0"/>
              <w:spacing w:before="0" w:after="283"/>
              <w:jc w:val="left"/>
              <w:rPr/>
            </w:pPr>
            <w:bookmarkStart w:id="17" w:name="xdx_902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(CFR 240.17R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950" w:type="dxa"/>
        <w:jc w:val="left"/>
        <w:tblInd w:w="0" w:type="dxa"/>
        <w:tblLayout w:type="fixed"/>
        <w:tblCellMar>
          <w:top w:w="0" w:type="dxa"/>
          <w:left w:w="0" w:type="dxa"/>
          <w:bottom w:w="28" w:type="dxa"/>
          <w:right w:w="0" w:type="dxa"/>
        </w:tblCellMar>
      </w:tblPr>
      <w:tblGrid>
        <w:gridCol w:w="2630"/>
        <w:gridCol w:w="1415"/>
        <w:gridCol w:w="3905"/>
      </w:tblGrid>
      <w:tr>
        <w:trPr/>
        <w:tc>
          <w:tcPr>
            <w:tcW w:w="26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39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630"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5_edei--Security12bTitle_c20260901"/>
            <w:bookmarkEnd w:id="18"/>
            <w:r>
              <w:rPr>
                <w:rFonts w:ascii="Times New Roman;Times;Serif" w:hAnsi="Times New Roman;Times;Serif"/>
                <w:b/>
                <w:sz w:val="20"/>
              </w:rPr>
              <w:t>Common Stock, $.01 par value</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5_edei--TradingSymbol_c20260901__2"/>
            <w:bookmarkEnd w:id="19"/>
            <w:r>
              <w:rPr>
                <w:rFonts w:ascii="Times New Roman;Times;Serif" w:hAnsi="Times New Roman;Times;Serif"/>
                <w:b/>
                <w:sz w:val="20"/>
              </w:rPr>
              <w:t>MHK</w:t>
            </w:r>
          </w:p>
        </w:tc>
        <w:tc>
          <w:tcPr>
            <w:tcW w:w="390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7_edei--SecurityExchangeName_c2026"/>
            <w:bookmarkEnd w:id="20"/>
            <w:r>
              <w:rPr>
                <w:rFonts w:ascii="Times New Roman;Times;Serif" w:hAnsi="Times New Roman;Times;Serif"/>
                <w:b/>
                <w:sz w:val="20"/>
              </w:rPr>
              <w:t>New York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772"/>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b/>
              </w:rPr>
            </w:pPr>
            <w:r>
              <w:rPr>
                <w:b/>
              </w:rPr>
              <w:t>Item 5.02</w:t>
            </w:r>
          </w:p>
        </w:tc>
        <w:tc>
          <w:tcPr>
            <w:tcW w:w="9395" w:type="dxa"/>
            <w:tcBorders/>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Mohawk Industries, Inc. (the “Company”) announced the appointment of An Nuyttens as President of its Flooring Rest of the World segment, effective mid-October. Ms. Nuyttens will join the Company with more than 30 years of international leadership experience at Solvay, a global chemical company, including service in senior executive roles across Europe and the United States. Ms. Nuyttens will succeed Paul De Cock, who has led the Flooring Rest of the World segment on an interim basis in addition to his responsibilities as the Company’s Chief Operating Officer and prior to his appointment as the Company’s Chief Executive Officer effective September 30, 2026.</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965"/>
        <w:gridCol w:w="2705"/>
      </w:tblGrid>
      <w:tr>
        <w:trPr/>
        <w:tc>
          <w:tcPr>
            <w:tcW w:w="965" w:type="dxa"/>
            <w:tcBorders/>
            <w:vAlign w:val="center"/>
          </w:tcPr>
          <w:p>
            <w:pPr>
              <w:pStyle w:val="TableContents"/>
              <w:bidi w:val="0"/>
              <w:spacing w:before="0" w:after="283"/>
              <w:jc w:val="both"/>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Company’s press release announcing the leadership changes described in Item 5.02 above, dated September 1, 2026, is furnished as Exhibit 99.1 to this Form 8-K. The information set forth in Item 7.01, including Exhibit 99.1, is being furnished and shall not be deemed “filed” for purposes of Section 16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6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530" w:type="dxa"/>
        <w:jc w:val="left"/>
        <w:tblInd w:w="0" w:type="dxa"/>
        <w:tblLayout w:type="fixed"/>
        <w:tblCellMar>
          <w:top w:w="0" w:type="dxa"/>
          <w:left w:w="0" w:type="dxa"/>
          <w:bottom w:w="28" w:type="dxa"/>
          <w:right w:w="0" w:type="dxa"/>
        </w:tblCellMar>
      </w:tblPr>
      <w:tblGrid>
        <w:gridCol w:w="785"/>
        <w:gridCol w:w="60"/>
        <w:gridCol w:w="7685"/>
      </w:tblGrid>
      <w:tr>
        <w:trPr/>
        <w:tc>
          <w:tcPr>
            <w:tcW w:w="785" w:type="dxa"/>
            <w:tcBorders>
              <w:bottom w:val="single" w:sz="8" w:space="0" w:color="000000"/>
            </w:tcBorders>
            <w:vAlign w:val="center"/>
          </w:tcPr>
          <w:p>
            <w:pPr>
              <w:pStyle w:val="TableContents"/>
              <w:bidi w:val="0"/>
              <w:spacing w:before="0" w:after="283"/>
              <w:jc w:val="left"/>
              <w:rPr/>
            </w:pPr>
            <w:r>
              <w:rPr>
                <w:b/>
              </w:rPr>
              <w:t>Exhibit</w:t>
              <w:br/>
              <w:t>No.</w:t>
            </w:r>
            <w:r>
              <w:rPr/>
              <w:t> </w:t>
            </w:r>
          </w:p>
        </w:tc>
        <w:tc>
          <w:tcPr>
            <w:tcW w:w="60" w:type="dxa"/>
            <w:tcBorders/>
            <w:tcMar>
              <w:bottom w:w="0" w:type="dxa"/>
            </w:tcMar>
            <w:vAlign w:val="center"/>
          </w:tcPr>
          <w:p>
            <w:pPr>
              <w:pStyle w:val="TableContents"/>
              <w:bidi w:val="0"/>
              <w:spacing w:before="0" w:after="283"/>
              <w:jc w:val="left"/>
              <w:rPr/>
            </w:pPr>
            <w:r>
              <w:rPr/>
              <w:t> </w:t>
            </w:r>
          </w:p>
        </w:tc>
        <w:tc>
          <w:tcPr>
            <w:tcW w:w="768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785" w:type="dxa"/>
            <w:tcBorders/>
            <w:tcMar>
              <w:bottom w:w="0" w:type="dxa"/>
            </w:tcMar>
            <w:vAlign w:val="center"/>
          </w:tcPr>
          <w:p>
            <w:pPr>
              <w:pStyle w:val="TableContents"/>
              <w:bidi w:val="0"/>
              <w:spacing w:before="0" w:after="283"/>
              <w:jc w:val="left"/>
              <w:rPr/>
            </w:pPr>
            <w:hyperlink w:anchor="tm2624393d1_ex99-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hyperlink w:anchor="tm2624393d1_ex99-1.htm">
              <w:r>
                <w:rPr>
                  <w:rStyle w:val="InternetLink"/>
                </w:rPr>
                <w:t>Mohawk Industries, Inc. Press Release dated September 1, 2026.</w:t>
              </w:r>
            </w:hyperlink>
          </w:p>
        </w:tc>
      </w:tr>
      <w:tr>
        <w:trPr/>
        <w:tc>
          <w:tcPr>
            <w:tcW w:w="78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7685"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099" w:type="dxa"/>
        <w:jc w:val="left"/>
        <w:tblInd w:w="0" w:type="dxa"/>
        <w:tblLayout w:type="fixed"/>
        <w:tblCellMar>
          <w:top w:w="0" w:type="dxa"/>
          <w:left w:w="0" w:type="dxa"/>
          <w:bottom w:w="0" w:type="dxa"/>
          <w:right w:w="0" w:type="dxa"/>
        </w:tblCellMar>
      </w:tblPr>
      <w:tblGrid>
        <w:gridCol w:w="1324"/>
        <w:gridCol w:w="1065"/>
        <w:gridCol w:w="365"/>
        <w:gridCol w:w="5345"/>
      </w:tblGrid>
      <w:tr>
        <w:trPr/>
        <w:tc>
          <w:tcPr>
            <w:tcW w:w="132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pPr>
            <w:r>
              <w:rPr/>
              <w:t>Mohawk Industries, Inc.</w:t>
            </w:r>
          </w:p>
        </w:tc>
      </w:tr>
      <w:tr>
        <w:trPr/>
        <w:tc>
          <w:tcPr>
            <w:tcW w:w="132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pPr>
            <w:r>
              <w:rPr/>
              <w:t> </w:t>
            </w:r>
          </w:p>
        </w:tc>
      </w:tr>
      <w:tr>
        <w:trPr/>
        <w:tc>
          <w:tcPr>
            <w:tcW w:w="2389" w:type="dxa"/>
            <w:gridSpan w:val="2"/>
            <w:tcBorders/>
            <w:vAlign w:val="center"/>
          </w:tcPr>
          <w:p>
            <w:pPr>
              <w:pStyle w:val="TableContents"/>
              <w:bidi w:val="0"/>
              <w:spacing w:before="0" w:after="283"/>
              <w:jc w:val="left"/>
              <w:rPr/>
            </w:pPr>
            <w:r>
              <w:rPr/>
              <w:t>Date: September 1, 2026</w:t>
            </w:r>
          </w:p>
        </w:tc>
        <w:tc>
          <w:tcPr>
            <w:tcW w:w="365" w:type="dxa"/>
            <w:tcBorders/>
            <w:vAlign w:val="center"/>
          </w:tcPr>
          <w:p>
            <w:pPr>
              <w:pStyle w:val="TableContents"/>
              <w:bidi w:val="0"/>
              <w:spacing w:before="0" w:after="283"/>
              <w:jc w:val="left"/>
              <w:rPr/>
            </w:pPr>
            <w:r>
              <w:rPr/>
              <w:t>By:</w:t>
            </w:r>
          </w:p>
        </w:tc>
        <w:tc>
          <w:tcPr>
            <w:tcW w:w="5345" w:type="dxa"/>
            <w:tcBorders>
              <w:bottom w:val="single" w:sz="8" w:space="0" w:color="000000"/>
            </w:tcBorders>
            <w:tcMar>
              <w:bottom w:w="28" w:type="dxa"/>
            </w:tcMar>
            <w:vAlign w:val="center"/>
          </w:tcPr>
          <w:p>
            <w:pPr>
              <w:pStyle w:val="TableContents"/>
              <w:bidi w:val="0"/>
              <w:spacing w:before="0" w:after="283"/>
              <w:jc w:val="center"/>
              <w:rPr/>
            </w:pPr>
            <w:r>
              <w:rPr/>
              <w:t>/s/ R. David Patton</w:t>
            </w:r>
          </w:p>
        </w:tc>
      </w:tr>
      <w:tr>
        <w:trPr/>
        <w:tc>
          <w:tcPr>
            <w:tcW w:w="132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pPr>
            <w:r>
              <w:rPr/>
              <w:t>R. David Patton</w:t>
            </w:r>
          </w:p>
        </w:tc>
      </w:tr>
      <w:tr>
        <w:trPr/>
        <w:tc>
          <w:tcPr>
            <w:tcW w:w="132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345" w:type="dxa"/>
            <w:tcBorders/>
            <w:vAlign w:val="center"/>
          </w:tcPr>
          <w:p>
            <w:pPr>
              <w:pStyle w:val="TableContents"/>
              <w:bidi w:val="0"/>
              <w:spacing w:before="0" w:after="283"/>
              <w:jc w:val="center"/>
              <w:rPr/>
            </w:pPr>
            <w:r>
              <w:rPr/>
              <w:t>Vice President - Business Strategy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4393d1_ex99-1.htm"/>
      <w:bookmarkStart w:id="23" w:name="kstm2624393d1_ex991"/>
      <w:bookmarkEnd w:id="22"/>
      <w:bookmarkEnd w:id="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NEWS RELEASE</w:t>
      </w:r>
    </w:p>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085"/>
        <w:gridCol w:w="2885"/>
        <w:gridCol w:w="75"/>
      </w:tblGrid>
      <w:tr>
        <w:trPr/>
        <w:tc>
          <w:tcPr>
            <w:tcW w:w="1085" w:type="dxa"/>
            <w:tcBorders/>
            <w:vAlign w:val="center"/>
          </w:tcPr>
          <w:p>
            <w:pPr>
              <w:pStyle w:val="TableContents"/>
              <w:bidi w:val="0"/>
              <w:spacing w:before="0" w:after="283"/>
              <w:jc w:val="left"/>
              <w:rPr>
                <w:sz w:val="20"/>
              </w:rPr>
            </w:pPr>
            <w:r>
              <w:rPr>
                <w:sz w:val="20"/>
              </w:rPr>
              <w:t xml:space="preserve">For Release: </w:t>
            </w:r>
          </w:p>
        </w:tc>
        <w:tc>
          <w:tcPr>
            <w:tcW w:w="2885" w:type="dxa"/>
            <w:tcBorders/>
            <w:vAlign w:val="center"/>
          </w:tcPr>
          <w:p>
            <w:pPr>
              <w:pStyle w:val="TableContents"/>
              <w:bidi w:val="0"/>
              <w:spacing w:before="0" w:after="283"/>
              <w:jc w:val="left"/>
              <w:rPr>
                <w:sz w:val="20"/>
              </w:rPr>
            </w:pPr>
            <w:r>
              <w:rPr>
                <w:sz w:val="20"/>
              </w:rPr>
              <w:t>Immediately</w:t>
            </w:r>
          </w:p>
        </w:tc>
        <w:tc>
          <w:tcPr>
            <w:tcW w:w="75" w:type="dxa"/>
            <w:tcBorders/>
            <w:vAlign w:val="center"/>
          </w:tcPr>
          <w:p>
            <w:pPr>
              <w:pStyle w:val="TableContents"/>
              <w:bidi w:val="0"/>
              <w:spacing w:before="0" w:after="283"/>
              <w:jc w:val="both"/>
              <w:rPr/>
            </w:pPr>
            <w:r>
              <w:rPr/>
              <w:t> </w:t>
            </w:r>
          </w:p>
        </w:tc>
      </w:tr>
      <w:tr>
        <w:trPr/>
        <w:tc>
          <w:tcPr>
            <w:tcW w:w="1085" w:type="dxa"/>
            <w:tcBorders/>
            <w:vAlign w:val="center"/>
          </w:tcPr>
          <w:p>
            <w:pPr>
              <w:pStyle w:val="TableContents"/>
              <w:bidi w:val="0"/>
              <w:spacing w:before="0" w:after="283"/>
              <w:jc w:val="left"/>
              <w:rPr>
                <w:sz w:val="20"/>
              </w:rPr>
            </w:pPr>
            <w:r>
              <w:rPr>
                <w:sz w:val="20"/>
              </w:rPr>
              <w:t xml:space="preserve">Contact: </w:t>
            </w:r>
          </w:p>
        </w:tc>
        <w:tc>
          <w:tcPr>
            <w:tcW w:w="2885" w:type="dxa"/>
            <w:tcBorders/>
            <w:vAlign w:val="center"/>
          </w:tcPr>
          <w:p>
            <w:pPr>
              <w:pStyle w:val="TableContents"/>
              <w:bidi w:val="0"/>
              <w:spacing w:before="0" w:after="283"/>
              <w:jc w:val="left"/>
              <w:rPr>
                <w:sz w:val="20"/>
              </w:rPr>
            </w:pPr>
            <w:r>
              <w:rPr>
                <w:sz w:val="20"/>
              </w:rPr>
              <w:t>Joe Ahlersmeyer</w:t>
            </w:r>
          </w:p>
        </w:tc>
        <w:tc>
          <w:tcPr>
            <w:tcW w:w="75" w:type="dxa"/>
            <w:tcBorders/>
            <w:vAlign w:val="center"/>
          </w:tcPr>
          <w:p>
            <w:pPr>
              <w:pStyle w:val="TableContents"/>
              <w:bidi w:val="0"/>
              <w:spacing w:before="0" w:after="283"/>
              <w:jc w:val="both"/>
              <w:rPr/>
            </w:pPr>
            <w:r>
              <w:rPr/>
              <w:t> </w:t>
            </w:r>
          </w:p>
        </w:tc>
      </w:tr>
      <w:tr>
        <w:trPr/>
        <w:tc>
          <w:tcPr>
            <w:tcW w:w="1085"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joe_ahlersmeyer@mohawkind.com</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Mohawk Industries Appoints An Nuyttens as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of Flooring Rest of the World Segment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Seasoned global executive to lead Flooring Rest of the World and Unilin businesses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CALHOUN, Ga., September 1, 2026 – Mohawk Industries (NYSE: MHK) today announced that An Nuyttens has been appointed President of its Flooring Rest of the World segment, effective mid-October.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role, Nuyttens will lead Mohawk’s Flooring Rest of the World segment, which serves customers across Europe, Asia-Pacific, Latin America and other international markets through a portfolio of industry-leading flooring, panel and insulation businesses, including Unilin.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Nuyttens joins Mohawk with more than 30 years of international leadership experience gained through a distinguished career with Solvay, a global chemical company. Throughout her career, she has held senior executive roles across Europe and the United States, with global responsibility for strategy, operations, business growth and transformation in multiple industries and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 holds an MBA and a Master’s degree in Chemical Engineering from KU Leuven University in Belgium and brings a proven track record of driving sustainable growth, building strong customer partnerships and developing high-performing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 is an accomplished global enterprise leader with deep operational expertise, a strong customer focus and a demonstrated ability to deliver results in complex international markets,” said Paul De Cock, Chief Operating Officer and incoming Chief Executive Officer of Mohawk Industries. “The Flooring Rest of the World segment plays a critical role in Mohawk’s long-term growth strategy, and An’s experience leading portfolios of large, global organizations makes her exceptionally well suited to guide the business into its next chapter. We are excited to welcome her to Mohawk and confident she will build on the strong momentum established across the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 Cock has led the Flooring Rest of the World segment on an interim basis in addition to his responsibilities as Chief Operating Officer of Mohawk Industries and prior to his appointment as Chief Executive Officer effective September 30. Nuyttens will build on the momentum already underway by continuing to advance the segment’s focus on innovation, operational excellence and customer-focused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 am truly honored to join Mohawk and lead the Flooring Rest of the World segment and Unilin,” said Nuyttens. “What attracted me to Mohawk is its robust portfolio of market-leading businesses, commitment to innovation and the talent of its people. I look forward to working closely with teams across the organization to build on the segment’s strong foundation, deepen customer relationships and create long-term value for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MOHAWK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past two decades, Mohawk Industries has transformed its business into the world’s largest flooring company with leading positions in North America, Europe, South America and Oceania. Mohawk’s vertically integrated manufacturing and distribution operations provide a competitive advantage in the production of ceramic tile, carpet and laminate, wood, vinyl and hybrid flooring products. Mohawk’s industry-leading innovation has yielded designs and performance enhancements that differentiate its collections in the marketplace and satisfy all residential and commercial remodeling and new construction requirements. The Company’s brands are among the most recognized and respected in the industry and include American Olean, Daltile, Durkan, Eliane, Elizabeth, Feltex, Godfrey Hirst, Karastan, Marazzi, Mohawk, Mohawk Group, Mohawk Home, Mohawk Performance Accessories, Pergo, Quick-Step, Unilin and Vitromex.</w:t>
      </w:r>
    </w:p>
    <w:p>
      <w:pPr>
        <w:pStyle w:val="TextBody"/>
        <w:bidi w:val="0"/>
        <w:spacing w:before="0" w:after="283"/>
        <w:jc w:val="left"/>
        <w:rPr/>
      </w:pPr>
      <w:r>
        <w:rPr/>
        <w:t> </w:t>
      </w:r>
    </w:p>
    <w:p>
      <w:pPr>
        <w:pStyle w:val="TextBody"/>
        <w:bidi w:val="0"/>
        <w:jc w:val="both"/>
        <w:rPr>
          <w:b/>
        </w:rPr>
      </w:pPr>
      <w:r>
        <w:rPr>
          <w:b/>
        </w:rPr>
        <w:t>Forward-Looking Statements</w:t>
      </w:r>
    </w:p>
    <w:p>
      <w:pPr>
        <w:pStyle w:val="TextBody"/>
        <w:bidi w:val="0"/>
        <w:jc w:val="both"/>
        <w:rPr/>
      </w:pPr>
      <w:r>
        <w:rPr/>
        <w:t> </w:t>
      </w:r>
    </w:p>
    <w:p>
      <w:pPr>
        <w:pStyle w:val="TextBody"/>
        <w:bidi w:val="0"/>
        <w:jc w:val="both"/>
        <w:rPr/>
      </w:pPr>
      <w:r>
        <w:rPr/>
        <w:t>Certain of the statements in this press release, particularly those anticipating future performance, business prospects, growth and operating strategies, and similar matters, and those that include the words “could,” “should,” “believes,” “anticipates,” “expects” and “estimates” or similar expressions constitute “forward-looking statements” within the meaning of Section 27A of the Securities Act of 1933, as amended, and Section 21E of the Securities Exchange Act of 1934, as amended. For those statements, Mohawk Industries, Inc. (the “Company”) claims the protection of the safe harbor for forward-looking statements contained in the Private Securities Litigation Reform Act of 1995. Management believes that these forward-looking statements are reasonable as and when made; however, caution should be taken not to place undue reliance on any such forward-looking statements because such statements speak only as of the date when made. The Company undertakes no obligation to publicly update or revise any forward-looking statements, whether as a result of new information, future events or otherwise, except as required by law. There can be no assurance that the forward-looking statements will be accurate because they are based on many assumptions, which involve risks and uncertainties. Important factors that could cause future results to differ from historical experience and the Company’s present expectations or projections include, but are not limited to, the following: changes in economic or industry conditions; the impact of tariffs; competition; inflation and deflation in raw material prices, freight and other input costs; inflation and deflation in consumer markets; currency fluctuations; rising energy costs and changes in the level of supply thereof; timing and level of capital expenditures; timing and implementation of price increases for the Company’s products; impairment charges; identification and consummation of acquisitions on favorable terms, if at all; integration of acquisitions; international operations; introduction of new products; rationalization of operations; tax and tax reform, product and other claims; litigation; geopolitical conflicts; regulatory and political changes in the jurisdictions in which the Company does business; and other risks identified in Mohawk’s United States Securities and Exchange Commission reports and public announcements.</w:t>
      </w:r>
    </w:p>
    <w:p>
      <w:pPr>
        <w:pStyle w:val="TextBody"/>
        <w:bidi w:val="0"/>
        <w:spacing w:before="0" w:after="283"/>
        <w:jc w:val="left"/>
        <w:rPr/>
      </w:pPr>
      <w:r>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1489</Words>
  <Characters>8704</Characters>
  <CharactersWithSpaces>10200</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