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97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97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Brunk James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MOHAWK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MHK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 SOUTH INDUSTRIAL BLVD.</w:t>
            </w:r>
          </w:p>
        </w:tc>
        <w:tc>
          <w:tcPr>
            <w:tcW w:w="2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12069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CALHOUN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30703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8,292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29,360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4,175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125.59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25,185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125.27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1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that will vest 1/3 each year for 3 years.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 related to meeting tax obligations upon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2, 2026, the Issuer cancelled 218 restricted stock units for no consideration in connection with the Issuer's recovery of erroneously awarded compensation.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Melissa Jackmin,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1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James</w:t>
        <w:tab/>
        <w:t>03/03/2026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Brunk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63221" TargetMode="External"/><Relationship Id="rId14" Type="http://schemas.openxmlformats.org/officeDocument/2006/relationships/hyperlink" Target="http://www.sec.gov/cgi-bin/browse-edgar?action=getcompany&amp;CIK=000085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2026-03-03T15:41:18Z</dcterms:created>
  <dcterms:modified xsi:type="dcterms:W3CDTF">2026-03-03T15:41:18Z</dcterms:modified>
</cp:coreProperties>
</file>