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4134"/>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06" w:lineRule="exact"/>
        <w:rPr>
          <w:sz w:val="24"/>
          <w:szCs w:val="24"/>
          <w:color w:val="auto"/>
        </w:rPr>
      </w:pPr>
    </w:p>
    <w:p>
      <w:pPr>
        <w:ind w:left="4134"/>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1" w:lineRule="exact"/>
        <w:rPr>
          <w:sz w:val="24"/>
          <w:szCs w:val="24"/>
          <w:color w:val="auto"/>
        </w:rPr>
      </w:pPr>
    </w:p>
    <w:p>
      <w:pPr>
        <w:ind w:left="654" w:hanging="654"/>
        <w:spacing w:after="0"/>
        <w:tabs>
          <w:tab w:leader="none" w:pos="65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56" w:lineRule="exact"/>
        <w:rPr>
          <w:sz w:val="24"/>
          <w:szCs w:val="24"/>
          <w:color w:val="auto"/>
        </w:rPr>
      </w:pPr>
    </w:p>
    <w:p>
      <w:pPr>
        <w:ind w:left="4114"/>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ind w:left="5454"/>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654" w:hanging="654"/>
        <w:spacing w:after="0"/>
        <w:tabs>
          <w:tab w:leader="none" w:pos="654"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67" w:lineRule="exact"/>
        <w:rPr>
          <w:sz w:val="24"/>
          <w:szCs w:val="24"/>
          <w:color w:val="auto"/>
        </w:rPr>
      </w:pPr>
    </w:p>
    <w:p>
      <w:pPr>
        <w:ind w:left="4174"/>
        <w:spacing w:after="0"/>
        <w:rPr>
          <w:sz w:val="20"/>
          <w:szCs w:val="20"/>
          <w:color w:val="auto"/>
        </w:rPr>
      </w:pPr>
      <w:r>
        <w:rPr>
          <w:rFonts w:ascii="Times New Roman" w:cs="Times New Roman" w:eastAsia="Times New Roman" w:hAnsi="Times New Roman"/>
          <w:sz w:val="18"/>
          <w:szCs w:val="18"/>
          <w:b w:val="1"/>
          <w:bCs w:val="1"/>
          <w:color w:val="auto"/>
        </w:rPr>
        <w:t>For the transition period from____to_____</w:t>
      </w:r>
    </w:p>
    <w:p>
      <w:pPr>
        <w:spacing w:after="0" w:line="17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Commission File Number 01-13697</w:t>
      </w:r>
    </w:p>
    <w:p>
      <w:pPr>
        <w:spacing w:after="0" w:line="3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MOHAWK INDUSTRIES RETIREMENT PLAN 2</w:t>
      </w:r>
    </w:p>
    <w:p>
      <w:pPr>
        <w:spacing w:after="0" w:line="1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167640</wp:posOffset>
            </wp:positionV>
            <wp:extent cx="149987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MOHAWK INDUSTRIES, INC.</w:t>
      </w:r>
    </w:p>
    <w:p>
      <w:pPr>
        <w:spacing w:after="0" w:line="1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(Name of the issuer of the securities held pursuant to the Plan)</w:t>
      </w:r>
    </w:p>
    <w:p>
      <w:pPr>
        <w:spacing w:after="0" w:line="16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160 S. Industrial Blvd.</w:t>
      </w:r>
    </w:p>
    <w:p>
      <w:pPr>
        <w:spacing w:after="0" w:line="2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Calhoun, Georgia 30701</w:t>
      </w:r>
    </w:p>
    <w:p>
      <w:pPr>
        <w:spacing w:after="0" w:line="2"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1046480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4"/>
          </w:cols>
          <w:pgMar w:left="346" w:top="1440" w:right="55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Index to Financial Statements, Supplemental Schedule and Exhibit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Item</w:t>
            </w:r>
          </w:p>
        </w:tc>
        <w:tc>
          <w:tcPr>
            <w:tcW w:w="1960" w:type="dxa"/>
            <w:vAlign w:val="bottom"/>
            <w:gridSpan w:val="3"/>
          </w:tcPr>
          <w:p>
            <w:pPr>
              <w:ind w:left="1480"/>
              <w:spacing w:after="0"/>
              <w:rPr>
                <w:sz w:val="20"/>
                <w:szCs w:val="20"/>
                <w:color w:val="auto"/>
              </w:rPr>
            </w:pPr>
            <w:r>
              <w:rPr>
                <w:rFonts w:ascii="Times New Roman" w:cs="Times New Roman" w:eastAsia="Times New Roman" w:hAnsi="Times New Roman"/>
                <w:sz w:val="14"/>
                <w:szCs w:val="14"/>
                <w:color w:val="auto"/>
                <w:w w:val="96"/>
              </w:rPr>
              <w:t>Page No</w:t>
            </w:r>
          </w:p>
        </w:tc>
      </w:tr>
      <w:tr>
        <w:trPr>
          <w:trHeight w:val="283"/>
        </w:trPr>
        <w:tc>
          <w:tcPr>
            <w:tcW w:w="16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760" w:type="dxa"/>
            <w:vAlign w:val="bottom"/>
            <w:gridSpan w:val="2"/>
          </w:tcPr>
          <w:p>
            <w:pPr>
              <w:jc w:val="center"/>
              <w:ind w:left="1592"/>
              <w:spacing w:after="0"/>
              <w:rPr>
                <w:sz w:val="20"/>
                <w:szCs w:val="20"/>
                <w:color w:val="auto"/>
              </w:rPr>
            </w:pPr>
            <w:r>
              <w:rPr>
                <w:rFonts w:ascii="Times New Roman" w:cs="Times New Roman" w:eastAsia="Times New Roman" w:hAnsi="Times New Roman"/>
                <w:sz w:val="18"/>
                <w:szCs w:val="18"/>
                <w:color w:val="0000FF"/>
                <w:w w:val="88"/>
              </w:rPr>
              <w:t>3</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Net Assets Available for Plan Benefits as of December 31, 2025 and 2024</w:t>
            </w:r>
          </w:p>
        </w:tc>
        <w:tc>
          <w:tcPr>
            <w:tcW w:w="1760" w:type="dxa"/>
            <w:vAlign w:val="bottom"/>
            <w:gridSpan w:val="2"/>
          </w:tcPr>
          <w:p>
            <w:pPr>
              <w:jc w:val="center"/>
              <w:ind w:left="1592"/>
              <w:spacing w:after="0"/>
              <w:rPr>
                <w:sz w:val="20"/>
                <w:szCs w:val="20"/>
                <w:color w:val="auto"/>
              </w:rPr>
            </w:pPr>
            <w:r>
              <w:rPr>
                <w:rFonts w:ascii="Times New Roman" w:cs="Times New Roman" w:eastAsia="Times New Roman" w:hAnsi="Times New Roman"/>
                <w:sz w:val="18"/>
                <w:szCs w:val="18"/>
                <w:color w:val="0000FF"/>
                <w:w w:val="88"/>
              </w:rPr>
              <w:t>4</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Plan Benefits for the Year ended December 31, 2025</w:t>
            </w:r>
          </w:p>
        </w:tc>
        <w:tc>
          <w:tcPr>
            <w:tcW w:w="1460" w:type="dxa"/>
            <w:vAlign w:val="bottom"/>
          </w:tcPr>
          <w:p>
            <w:pPr>
              <w:spacing w:after="0"/>
              <w:rPr>
                <w:sz w:val="24"/>
                <w:szCs w:val="24"/>
                <w:color w:val="auto"/>
              </w:rPr>
            </w:pPr>
          </w:p>
        </w:tc>
        <w:tc>
          <w:tcPr>
            <w:tcW w:w="1760" w:type="dxa"/>
            <w:vAlign w:val="bottom"/>
            <w:gridSpan w:val="2"/>
          </w:tcPr>
          <w:p>
            <w:pPr>
              <w:jc w:val="center"/>
              <w:ind w:left="1592"/>
              <w:spacing w:after="0"/>
              <w:rPr>
                <w:sz w:val="20"/>
                <w:szCs w:val="20"/>
                <w:color w:val="auto"/>
              </w:rPr>
            </w:pPr>
            <w:r>
              <w:rPr>
                <w:rFonts w:ascii="Times New Roman" w:cs="Times New Roman" w:eastAsia="Times New Roman" w:hAnsi="Times New Roman"/>
                <w:sz w:val="18"/>
                <w:szCs w:val="18"/>
                <w:color w:val="0000FF"/>
                <w:w w:val="88"/>
              </w:rPr>
              <w:t>5</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460" w:type="dxa"/>
            <w:vAlign w:val="bottom"/>
          </w:tcPr>
          <w:p>
            <w:pPr>
              <w:spacing w:after="0"/>
              <w:rPr>
                <w:sz w:val="24"/>
                <w:szCs w:val="24"/>
                <w:color w:val="auto"/>
              </w:rPr>
            </w:pPr>
          </w:p>
        </w:tc>
        <w:tc>
          <w:tcPr>
            <w:tcW w:w="1760" w:type="dxa"/>
            <w:vAlign w:val="bottom"/>
            <w:gridSpan w:val="2"/>
          </w:tcPr>
          <w:p>
            <w:pPr>
              <w:jc w:val="center"/>
              <w:ind w:left="1592"/>
              <w:spacing w:after="0"/>
              <w:rPr>
                <w:sz w:val="20"/>
                <w:szCs w:val="20"/>
                <w:color w:val="auto"/>
              </w:rPr>
            </w:pPr>
            <w:r>
              <w:rPr>
                <w:rFonts w:ascii="Times New Roman" w:cs="Times New Roman" w:eastAsia="Times New Roman" w:hAnsi="Times New Roman"/>
                <w:sz w:val="18"/>
                <w:szCs w:val="18"/>
                <w:color w:val="0000FF"/>
                <w:w w:val="88"/>
              </w:rPr>
              <w:t>6</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 – December 31, 2025</w:t>
            </w:r>
          </w:p>
        </w:tc>
        <w:tc>
          <w:tcPr>
            <w:tcW w:w="1760" w:type="dxa"/>
            <w:vAlign w:val="bottom"/>
            <w:gridSpan w:val="2"/>
          </w:tcPr>
          <w:p>
            <w:pPr>
              <w:jc w:val="center"/>
              <w:ind w:left="1492"/>
              <w:spacing w:after="0"/>
              <w:rPr>
                <w:sz w:val="20"/>
                <w:szCs w:val="20"/>
                <w:color w:val="auto"/>
              </w:rPr>
            </w:pPr>
            <w:r>
              <w:rPr>
                <w:rFonts w:ascii="Times New Roman" w:cs="Times New Roman" w:eastAsia="Times New Roman" w:hAnsi="Times New Roman"/>
                <w:sz w:val="18"/>
                <w:szCs w:val="18"/>
                <w:color w:val="0000FF"/>
                <w:w w:val="99"/>
              </w:rPr>
              <w:t>12</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6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700" w:type="dxa"/>
            <w:vAlign w:val="bottom"/>
            <w:gridSpan w:val="3"/>
          </w:tcPr>
          <w:p>
            <w:pPr>
              <w:spacing w:after="0"/>
              <w:rPr>
                <w:sz w:val="24"/>
                <w:szCs w:val="24"/>
                <w:color w:val="auto"/>
              </w:rPr>
            </w:pPr>
          </w:p>
        </w:tc>
        <w:tc>
          <w:tcPr>
            <w:tcW w:w="1760" w:type="dxa"/>
            <w:vAlign w:val="bottom"/>
            <w:gridSpan w:val="2"/>
          </w:tcPr>
          <w:p>
            <w:pPr>
              <w:jc w:val="center"/>
              <w:ind w:left="1492"/>
              <w:spacing w:after="0"/>
              <w:rPr>
                <w:sz w:val="20"/>
                <w:szCs w:val="20"/>
                <w:color w:val="auto"/>
              </w:rPr>
            </w:pPr>
            <w:r>
              <w:rPr>
                <w:rFonts w:ascii="Times New Roman" w:cs="Times New Roman" w:eastAsia="Times New Roman" w:hAnsi="Times New Roman"/>
                <w:sz w:val="18"/>
                <w:szCs w:val="18"/>
                <w:color w:val="0000FF"/>
                <w:w w:val="99"/>
              </w:rPr>
              <w:t>13</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20" w:type="dxa"/>
            <w:vAlign w:val="bottom"/>
            <w:gridSpan w:val="6"/>
          </w:tcPr>
          <w:p>
            <w:pPr>
              <w:spacing w:after="0"/>
              <w:rPr>
                <w:sz w:val="24"/>
                <w:szCs w:val="24"/>
                <w:color w:val="auto"/>
              </w:rPr>
            </w:pPr>
          </w:p>
        </w:tc>
        <w:tc>
          <w:tcPr>
            <w:tcW w:w="1760" w:type="dxa"/>
            <w:vAlign w:val="bottom"/>
            <w:gridSpan w:val="2"/>
          </w:tcPr>
          <w:p>
            <w:pPr>
              <w:jc w:val="center"/>
              <w:ind w:left="1492"/>
              <w:spacing w:after="0"/>
              <w:rPr>
                <w:sz w:val="20"/>
                <w:szCs w:val="20"/>
                <w:color w:val="auto"/>
              </w:rPr>
            </w:pPr>
            <w:r>
              <w:rPr>
                <w:rFonts w:ascii="Times New Roman" w:cs="Times New Roman" w:eastAsia="Times New Roman" w:hAnsi="Times New Roman"/>
                <w:sz w:val="18"/>
                <w:szCs w:val="18"/>
                <w:color w:val="0000FF"/>
                <w:w w:val="99"/>
              </w:rPr>
              <w:t>14</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417" w:right="559" w:bottom="1440" w:gutter="0" w:footer="0" w:header="0"/>
        </w:sectPr>
      </w:pPr>
    </w:p>
    <w:bookmarkStart w:id="2" w:name="page3"/>
    <w:bookmarkEnd w:id="2"/>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Participants in and Plan Administrator 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Mohawk Industries Retirement Plan 2 (the “Plan”) as of December 31, 2025 and 2024, and the related statement of changes in net assets available for benefits for the year ended December 31, 2025,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supplemental information contained in the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Warren Averett,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MOHAWK INDUSTRIES RETIREMENT PLAN 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Plan Benefits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60" w:type="dxa"/>
            <w:vAlign w:val="bottom"/>
          </w:tcPr>
          <w:p>
            <w:pPr>
              <w:spacing w:after="0"/>
              <w:rPr>
                <w:sz w:val="16"/>
                <w:szCs w:val="16"/>
                <w:color w:val="auto"/>
              </w:rPr>
            </w:pP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3"/>
        </w:trPr>
        <w:tc>
          <w:tcPr>
            <w:tcW w:w="59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8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 interest in Master Trust, at fair value (notes 1, 4 and 5)</w:t>
            </w:r>
          </w:p>
        </w:tc>
        <w:tc>
          <w:tcPr>
            <w:tcW w:w="1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969.4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8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 (note 2)</w:t>
            </w:r>
          </w:p>
        </w:tc>
        <w:tc>
          <w:tcPr>
            <w:tcW w:w="1860" w:type="dxa"/>
            <w:vAlign w:val="bottom"/>
          </w:tcPr>
          <w:p>
            <w:pPr>
              <w:spacing w:after="0"/>
              <w:rPr>
                <w:sz w:val="19"/>
                <w:szCs w:val="19"/>
                <w:color w:val="auto"/>
              </w:rPr>
            </w:pPr>
          </w:p>
        </w:tc>
        <w:tc>
          <w:tcPr>
            <w:tcW w:w="1860" w:type="dxa"/>
            <w:vAlign w:val="bottom"/>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13.3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receivable from employer</w:t>
            </w:r>
          </w:p>
        </w:tc>
        <w:tc>
          <w:tcPr>
            <w:tcW w:w="18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0.3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Contributions receivable from participants</w:t>
            </w:r>
          </w:p>
        </w:tc>
        <w:tc>
          <w:tcPr>
            <w:tcW w:w="18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0.7</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receivables</w:t>
            </w:r>
          </w:p>
        </w:tc>
        <w:tc>
          <w:tcPr>
            <w:tcW w:w="18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14.3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w:t>
            </w:r>
          </w:p>
        </w:tc>
        <w:tc>
          <w:tcPr>
            <w:tcW w:w="1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983.7</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Changes in Net Assets Available for Plan Benefits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8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interest in gain of Master Trust (notes 1, 4 and 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from employer</w:t>
            </w: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participants</w:t>
            </w:r>
          </w:p>
        </w:tc>
        <w:tc>
          <w:tcPr>
            <w:tcW w:w="8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Rollover contributions from participants</w:t>
            </w: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29"/>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8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23"/>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additions</w:t>
            </w: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191.8</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8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8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r>
      <w:tr>
        <w:trPr>
          <w:trHeight w:val="229"/>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8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3"/>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deductions</w:t>
            </w: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r>
      <w:tr>
        <w:trPr>
          <w:trHeight w:val="223"/>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 available for plan benefits before transfers from other Mohawk Carpet, LLC Plan</w:t>
            </w:r>
          </w:p>
        </w:tc>
        <w:tc>
          <w:tcPr>
            <w:tcW w:w="8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Transfers:</w:t>
            </w: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between affiliated plans (note 8)</w:t>
            </w:r>
          </w:p>
        </w:tc>
        <w:tc>
          <w:tcPr>
            <w:tcW w:w="8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30"/>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transfers</w:t>
            </w: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plan benefits</w:t>
            </w:r>
          </w:p>
        </w:tc>
        <w:tc>
          <w:tcPr>
            <w:tcW w:w="8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r>
      <w:tr>
        <w:trPr>
          <w:trHeight w:val="230"/>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 at beginning of year</w:t>
            </w: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912.5</w:t>
            </w:r>
          </w:p>
        </w:tc>
      </w:tr>
      <w:tr>
        <w:trPr>
          <w:trHeight w:val="230"/>
        </w:trPr>
        <w:tc>
          <w:tcPr>
            <w:tcW w:w="8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 at end of year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983.7</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significant accounting policies followed by the Mohawk Industries Retirement Savings Plan 2 (the Plan) in preparing its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Basis of Presentation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on the accrual basis of accounting and present the net assets available for plan benefits and changes in those net assets.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liabilities, and changes therein and disclosure of contingent assets and liabilities. Actual results could differ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Investments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Mohawk Industries Retirement Plan 1 Master Trust and Mohawk Industries Retirement Plan 2 Master Trust (Master Trust) was established on January 1, 2007. As of December 31, 2025 and 2024, the Plan’s investments consist of its interest in the net assets of the Master Trust. The Master Trust is an arrangement by which investments of the Plan and one other Mohawk Carpet, LLC defined-contribution plan share a trust (see note 5). The Plan’s investment in the Master Trust is based on its equity share of the Master Trust’s net assets.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Master Trust’s investments are stated at fair value. Fair value of registered investment companies and common stocks is based on the quoted market or redemption values on the last business day of the Plan year. Securities traded on a national securities exchange are valued at the closing market price on the last business day of the Plan year. The Plan’s interest in a common collective fund is valued at net asset value ("NAV") provided by the fund's trustee as a practical expedient to estimate fair value. The NAV is based upon the fair value of the underlying investments held by the respective fund less its liabilities. This practical expedient would not be used when it is determined to be probable that the fund will sell the investment for an amount different than the reported NAV. Participant transactions (purchases and sales) may occur daily. If the Plan initiates a full redemption of the collective trust, the investment advisor reserves the right to temporarily delay withdrawal from the trust in order to ensure that securities liquidations will be carried out in an orderly business manner.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presents in the statement of changes in net assets available for plan benefits the Plan’s interest in income (loss) of the Master Trust, which consists primarily of the realized net gains (losses) on the fair value of the Master Trust investments and the unrealized net appreciation (depreciation) on those investments.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provides for investing in numerous funds, which invest in various types of investment securities and in various companies in various markets. Investment securities, generally, are exposed to several risks, such as interest rate, market, and credit risks. Due to the level of risk associated with the funds, it is reasonably possible that changes in the values of the funds will occur in the near term and such changes could materially affect the amounts reported in the financial statements and supplemental schedule of assets (held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Description of the Plan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Plan provides only general information. Participants should refer to the plan agreement for a more complete description of the Plan’s provisions.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General</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Plan is a defined contribution plan and covers substantially all salaried, sales, and nonexempt employees, of Mohawk Carpet, LLC (the Company) and its affiliates located in the U.S. and Puerto Rico. The Company is a wholly owned subsidiary of Mohawk Industries, Inc. The Plan provides for retirement savings to qualified active participants through both participant and employer contributions and is subject to certain provisions of the Employee Retirement Income Security Act of 1974 as amended (ERISA). Effective November 1, 2019, full-time employees, as defined, are eligible to participate in the Plan at the beginning of the calendar month after the completion of 60 days of service. Prior to November 1, 2019, full-time employees, as defined, were eligible to participate in the Plan after the completion of 90 days of service. Part-time employees, as defined, are eligible to participate in the Plan after one year of service. Effective November 1, 2019, only full-time regular employees, as defined, will be automatically enrolled in the Plan as of his/her entry date at a contribution rate of 3% of pay unless the participant elects otherwise. Prior to November 1, 2019, all newly eligible employees were automatically enrolled at a contribution rate of 3%. Employees may opt out or discontinue contributing to the Plan at any time.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is administered by an Administrative Committee (Committee) appointed by the Company. The Committee is responsible for the control, management, and administration of the Plan and the assets. Fidelity Management Trust Company (Fidelity) is the Trustee of the Plan.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Contributions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Contributions to the Plan are made by both participants and the Company. Participants may contribute a maximum of 50% of their eligible compensation, subject to certain limitations. Participants may allocate their contributions in multiples of 1% to various investment funds of the Plan. Participants who are considered a Highly Compensated Employee by the Internal Revenue Service (IRS) definition are limited to a 6% annual deferred maximum, subject to certain limitations. Effective April 8, 2019, participants are eligible to make after-tax contributions to the Plan. Prior to April 8, 2019, after-tax contributions were not permitted under the Plan. For all participants, the Plan has a discretionary company match provision which provided 50% matching contributions up to the first 6% of each participant’s gross compensation contributed to the Plan in 2025.</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Plan also provide for discretionary employer profit sharing contributions to plan participants employed on the last day of the plan year or terminated during the plan year on account of death, disability, or retirement. There were no discretionary employer profit sharing contributions relating to the plan year ending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Participant Accounts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for the period as well as the employer’s matching contribution and an allocation of any discretionary employer profit sharing contribution. Investment income, realized gains/losses, and the change in unrealized appreciation or depreciation on plan investments are credited to participants’ accounts daily based on the proportion of each participant’s account balance to the total account balance within each investment fund at the beginning of the month.</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accounts may be invested in one or more of the investment funds available under the Plan at the direction of the participant. The Plan provides for daily valuation of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Distributions to Participants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participant's account shall be distributed in a lump sum payment in cash. If any portion of the account is invested in Company stock, the participant may elect to receive the Company stock in whole shares with cash paid for fractional shares. Unless another election is made by the participant, an account balance less than $1,000 will be paid out in cash. Unless another election is made by the participant, an account balance between $1,000 and $5,000 will be rolled into a Fidelity IRA established for the participant's benefit and the account balance will be invested in the Fidelity Cash Reserves Fund, an investment product designed to preserve principal and provide a reasonable rate of return.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Plan, participants may make hardship withdrawals from their accounts upon furnishing proof of hardship as specified in the plan agreement. Participants may also borrow the lesser of $50,000 or 50% of the value of their accounts subject to limitations provided by the Plan. Loans must be paid back to the Plan generally within four years of the loan date, with the exception of home equity loans.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Vesting</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are immediately vested in their contributions and any income earned on such contributions. Participants are vested in the Company’s matching and discretionary contributions after one year of service.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Amounts forfeited by participants who terminate from the Plan prior to being 100% vested are applied to reduce subsequent Company contributions to the Plan and/or administrative expenses. In 2025, $0.1 million forfeited funds were used for employer contributions. In 2025, $0.3 million of forfeited funds were used to pay administrative expenses. As of December 31, 2025 and 2024, forfeited balances were $0.1 million and $0.2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administrative expenses of the Plan are paid by the Company. These costs include legal, accounting, and certain administrative fees. All other Plan related expenses are paid by the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 Notes Receivable from Participants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accounts a minimum of $1,000 up to a maximum equal to the lesser of $50,000 or 50% of their vested account balance. Loans are measured at their unpaid balance plus any accrued but unpaid interest. Delinquent loans from participants are reclassified as distributions based upon the terms of the Plan document in compliance with IRS guidelines. Loan payments are made through payroll deductions with interest based on the prime interest rate as listed in the Wall Street Journal on the first day of the calendar quarter in which the loan is made plus 1.0%. Generally, loans must be repaid over a period not to exceed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Transactions with Parties in Interest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Master Trust held investments in Mohawk Industries, Inc. common stock, registered investment companies and common collective funds that are sponsored by the Trustee. In addition, administrative fees were paid for recordkeeping functions of the Plan, which qualify as exempt parties in interest transactions.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Fidelity receives revenue from the Plan's money market investment for services Fidelity provides to the fund. This revenue is used to offset certain amounts owed to Fidelity for its administrative services provided to the Plan. If the revenue received by Fidelity were to exceed the amount owed under the trust agreement, Fidelity would remit the excess to the Plan's trust and such amounts could be applied to pay plan administrative expenses or allocated to the accounts of participants. Revenue received during 2025 was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for an asset or paid to transfer a liability (an exit price) in the principal or most advantageous market for the asset or liability in an orderly transaction between market participants on the measurement date. The Financial Accounting Standards Board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inputs that are observable or corroborated by observable market data for substantially the full term of the assets or liabilities.</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debt and equity instruments and alternative investments.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or liability’s classification within the fair value hierarchy is based on the lowest level of significant input to its valuation.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available market information and judgments about the financial asset, including estimates of timing, amount of expected future cash flows and the credit standing of the issuer. In some cases, the fair value estimates cannot be substantiated by comparison to independent markets. In addition, the disclosed fair value may not be realized in the immediate settlement of the financial asset. In addition, the disclosed fair values do not reflect any premium or discount that could result from offering for sale at one time an entire holding of a particular financial asset. Potential taxes and other expenses that would be incurred in an actual sale or settlement are not reflected in amounts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Master Trust's fair value hierarchy for those assets measured at fair value as of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Fair Value</w:t>
            </w:r>
          </w:p>
        </w:tc>
        <w:tc>
          <w:tcPr>
            <w:tcW w:w="230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4"/>
                <w:szCs w:val="14"/>
                <w:color w:val="auto"/>
              </w:rPr>
              <w:t>Level 1</w:t>
            </w: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Level 2</w:t>
            </w: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3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18.9</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Mohawk Industries, Inc. common stock fund</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2300" w:type="dxa"/>
            <w:vAlign w:val="bottom"/>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23.7</w:t>
            </w: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1,080.2</w:t>
            </w:r>
          </w:p>
        </w:tc>
        <w:tc>
          <w:tcPr>
            <w:tcW w:w="23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1,080.2</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in hierarchy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1,122.8</w:t>
            </w:r>
          </w:p>
        </w:tc>
        <w:tc>
          <w:tcPr>
            <w:tcW w:w="2300" w:type="dxa"/>
            <w:vAlign w:val="bottom"/>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1,122.8</w:t>
            </w: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 at NAV</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2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1,229.6</w:t>
            </w:r>
          </w:p>
        </w:tc>
        <w:tc>
          <w:tcPr>
            <w:tcW w:w="2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Fair Value</w:t>
            </w:r>
          </w:p>
        </w:tc>
        <w:tc>
          <w:tcPr>
            <w:tcW w:w="230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4"/>
                <w:szCs w:val="14"/>
                <w:color w:val="auto"/>
              </w:rPr>
              <w:t>Level 1</w:t>
            </w: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Level 2</w:t>
            </w: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3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33.2</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Mohawk Industries, Inc. common stock fund</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30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27.5</w:t>
            </w: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3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962.2</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in hierarchy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30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1,022.9</w:t>
            </w: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 at NAV</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2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8"/>
        <w:spacing w:after="0" w:line="235" w:lineRule="auto"/>
        <w:tabs>
          <w:tab w:leader="none" w:pos="18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accordance with Subtopic 820-10,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 These investments can be redeemed daily and have no unfunded commitments.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Master Trust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divided interest in Master Trust's fair value as of December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2"/>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180" w:type="dxa"/>
            <w:vAlign w:val="bottom"/>
            <w:gridSpan w:val="2"/>
          </w:tcPr>
          <w:p>
            <w:pPr>
              <w:jc w:val="right"/>
              <w:ind w:right="975"/>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1"/>
                <w:szCs w:val="11"/>
                <w:color w:val="auto"/>
              </w:rPr>
            </w:pPr>
          </w:p>
        </w:tc>
        <w:tc>
          <w:tcPr>
            <w:tcW w:w="13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color w:val="auto"/>
              </w:rPr>
              <w:t>Master Trust</w:t>
            </w:r>
          </w:p>
        </w:tc>
        <w:tc>
          <w:tcPr>
            <w:tcW w:w="1900" w:type="dxa"/>
            <w:vAlign w:val="bottom"/>
          </w:tcPr>
          <w:p>
            <w:pPr>
              <w:jc w:val="right"/>
              <w:ind w:right="275"/>
              <w:spacing w:after="0" w:line="133" w:lineRule="exact"/>
              <w:rPr>
                <w:sz w:val="20"/>
                <w:szCs w:val="20"/>
                <w:color w:val="auto"/>
              </w:rPr>
            </w:pPr>
            <w:r>
              <w:rPr>
                <w:rFonts w:ascii="Times New Roman" w:cs="Times New Roman" w:eastAsia="Times New Roman" w:hAnsi="Times New Roman"/>
                <w:sz w:val="14"/>
                <w:szCs w:val="14"/>
                <w:color w:val="auto"/>
              </w:rPr>
              <w:t>Plan's Interest in Master</w:t>
            </w:r>
          </w:p>
        </w:tc>
        <w:tc>
          <w:tcPr>
            <w:tcW w:w="156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color w:val="auto"/>
              </w:rPr>
              <w:t>Master Trust</w:t>
            </w:r>
          </w:p>
        </w:tc>
        <w:tc>
          <w:tcPr>
            <w:tcW w:w="162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Plan's Interest in Master</w:t>
            </w:r>
          </w:p>
        </w:tc>
        <w:tc>
          <w:tcPr>
            <w:tcW w:w="0" w:type="dxa"/>
            <w:vAlign w:val="bottom"/>
          </w:tcPr>
          <w:p>
            <w:pPr>
              <w:spacing w:after="0"/>
              <w:rPr>
                <w:sz w:val="1"/>
                <w:szCs w:val="1"/>
                <w:color w:val="auto"/>
              </w:rPr>
            </w:pPr>
          </w:p>
        </w:tc>
      </w:tr>
      <w:tr>
        <w:trPr>
          <w:trHeight w:val="193"/>
        </w:trPr>
        <w:tc>
          <w:tcPr>
            <w:tcW w:w="45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color w:val="auto"/>
              </w:rPr>
              <w:t>Trust</w:t>
            </w:r>
          </w:p>
        </w:tc>
        <w:tc>
          <w:tcPr>
            <w:tcW w:w="156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Trust</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18.9</w:t>
            </w:r>
          </w:p>
        </w:tc>
        <w:tc>
          <w:tcPr>
            <w:tcW w:w="19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15.3</w:t>
            </w:r>
          </w:p>
        </w:tc>
        <w:tc>
          <w:tcPr>
            <w:tcW w:w="1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33.2</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Mohawk Industries, Inc. common stock fund</w:t>
            </w:r>
          </w:p>
        </w:tc>
        <w:tc>
          <w:tcPr>
            <w:tcW w:w="24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23.7</w:t>
            </w:r>
          </w:p>
        </w:tc>
        <w:tc>
          <w:tcPr>
            <w:tcW w:w="190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20.0</w:t>
            </w:r>
          </w:p>
        </w:tc>
        <w:tc>
          <w:tcPr>
            <w:tcW w:w="15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27.5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1,080.2</w:t>
            </w:r>
          </w:p>
        </w:tc>
        <w:tc>
          <w:tcPr>
            <w:tcW w:w="19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869.3</w:t>
            </w:r>
          </w:p>
        </w:tc>
        <w:tc>
          <w:tcPr>
            <w:tcW w:w="1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962.2</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collective funds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106.8</w:t>
            </w:r>
          </w:p>
        </w:tc>
        <w:tc>
          <w:tcPr>
            <w:tcW w:w="1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64.8</w:t>
            </w:r>
          </w:p>
        </w:tc>
        <w:tc>
          <w:tcPr>
            <w:tcW w:w="15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113.4</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1,229.6</w:t>
            </w:r>
          </w:p>
        </w:tc>
        <w:tc>
          <w:tcPr>
            <w:tcW w:w="190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969.4</w:t>
            </w:r>
          </w:p>
        </w:tc>
        <w:tc>
          <w:tcPr>
            <w:tcW w:w="15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1,136.3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has been allocated among the Plans based on the respective participants’ interest. Changes in net assets of the Master Trust for the plan year ended December 31, 2025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3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dividends</w:t>
            </w:r>
          </w:p>
        </w:tc>
        <w:tc>
          <w:tcPr>
            <w:tcW w:w="3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r>
      <w:tr>
        <w:trPr>
          <w:trHeight w:val="23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r>
      <w:tr>
        <w:trPr>
          <w:trHeight w:val="230"/>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from Master Trust</w:t>
            </w:r>
          </w:p>
        </w:tc>
        <w:tc>
          <w:tcPr>
            <w:tcW w:w="34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w:t>
            </w: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 Status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IRS has determined and informed the Company by a letter dated February 22, 2015, that the Plan and related trust are designed in accordance with applicable sections of the Internal Revenue Code (IRC). Although the Plan has been amended since receiving the determination letter, the plan administrator believes that the Plan is designed and currently being operated in substantial compliance with the applicable requirements of the IRC.</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generally accepted accounting principles requires plan management to evaluate uncertain tax positions taken by the Plan. The financial statement effects of a tax position are recognized when the position is more likely than not, based on the technical merits, to be sustained upon examination by the IRS. Plan management has analyzed the tax positions taken by the Plan, and has concluded that as of December 31, 2025,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Plan Termination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it is the Company’s intention to continue the Plan indefinitely, the Company has the right under the Plan to discontinue its contributions at any time and to terminate the Plan subject to the provisions of ERISA and the Plan agreement. In the event of Plan termination, participants will become 100% vested in their accounts.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Transfers Between Affiliated Plans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Along with this Plan, the Company also sponsors the Mohawk Industries Retirement Plan 1. During 2025, due to changes in employment status, net transfers between the plans were $0.6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Reconciliation to Form 5500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reconciles amounts per the accompanying financial statements to Form 5500 as of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20" w:type="dxa"/>
            <w:vAlign w:val="bottom"/>
          </w:tcPr>
          <w:p>
            <w:pPr>
              <w:spacing w:after="0"/>
              <w:rPr>
                <w:sz w:val="16"/>
                <w:szCs w:val="16"/>
                <w:color w:val="auto"/>
              </w:rPr>
            </w:pP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plan benefits per the accompanying financial statements</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983.7</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r>
      <w:tr>
        <w:trPr>
          <w:trHeight w:val="230"/>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Deemed loans</w:t>
            </w:r>
          </w:p>
        </w:tc>
        <w:tc>
          <w:tcPr>
            <w:tcW w:w="10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(0.6)</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plan benefits per Form 5500</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983.1</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benefit payments per financial statements and Form 5500 for the year ended 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380" w:type="dxa"/>
            <w:vAlign w:val="bottom"/>
          </w:tcPr>
          <w:p>
            <w:pPr>
              <w:spacing w:after="0"/>
              <w:rPr>
                <w:sz w:val="16"/>
                <w:szCs w:val="16"/>
                <w:color w:val="auto"/>
              </w:rPr>
            </w:pPr>
          </w:p>
        </w:tc>
        <w:tc>
          <w:tcPr>
            <w:tcW w:w="15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participants per the accompanying financial statements</w:t>
            </w:r>
          </w:p>
        </w:tc>
        <w:tc>
          <w:tcPr>
            <w:tcW w:w="2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r>
      <w:tr>
        <w:trPr>
          <w:trHeight w:val="229"/>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deemed loans</w:t>
            </w:r>
          </w:p>
        </w:tc>
        <w:tc>
          <w:tcPr>
            <w:tcW w:w="2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30"/>
        </w:trPr>
        <w:tc>
          <w:tcPr>
            <w:tcW w:w="7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participants per Form 5500</w:t>
            </w:r>
          </w:p>
        </w:tc>
        <w:tc>
          <w:tcPr>
            <w:tcW w:w="2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Identity of issue</w:t>
            </w:r>
          </w:p>
        </w:tc>
        <w:tc>
          <w:tcPr>
            <w:tcW w:w="3780" w:type="dxa"/>
            <w:vAlign w:val="bottom"/>
          </w:tcPr>
          <w:p>
            <w:pPr>
              <w:jc w:val="center"/>
              <w:ind w:left="1655"/>
              <w:spacing w:after="0"/>
              <w:rPr>
                <w:sz w:val="20"/>
                <w:szCs w:val="20"/>
                <w:color w:val="auto"/>
              </w:rPr>
            </w:pPr>
            <w:r>
              <w:rPr>
                <w:rFonts w:ascii="Times New Roman" w:cs="Times New Roman" w:eastAsia="Times New Roman" w:hAnsi="Times New Roman"/>
                <w:sz w:val="14"/>
                <w:szCs w:val="14"/>
                <w:color w:val="auto"/>
              </w:rPr>
              <w:t>Description of investment</w:t>
            </w:r>
          </w:p>
        </w:tc>
        <w:tc>
          <w:tcPr>
            <w:tcW w:w="620" w:type="dxa"/>
            <w:vAlign w:val="bottom"/>
          </w:tcPr>
          <w:p>
            <w:pPr>
              <w:spacing w:after="0"/>
              <w:rPr>
                <w:sz w:val="16"/>
                <w:szCs w:val="16"/>
                <w:color w:val="auto"/>
              </w:rPr>
            </w:pPr>
          </w:p>
        </w:tc>
        <w:tc>
          <w:tcPr>
            <w:tcW w:w="1600" w:type="dxa"/>
            <w:vAlign w:val="bottom"/>
          </w:tcPr>
          <w:p>
            <w:pPr>
              <w:jc w:val="right"/>
              <w:ind w:right="496"/>
              <w:spacing w:after="0"/>
              <w:rPr>
                <w:sz w:val="20"/>
                <w:szCs w:val="20"/>
                <w:color w:val="auto"/>
              </w:rPr>
            </w:pPr>
            <w:r>
              <w:rPr>
                <w:rFonts w:ascii="Times New Roman" w:cs="Times New Roman" w:eastAsia="Times New Roman" w:hAnsi="Times New Roman"/>
                <w:sz w:val="14"/>
                <w:szCs w:val="14"/>
                <w:color w:val="auto"/>
              </w:rPr>
              <w:t>Current value</w:t>
            </w:r>
          </w:p>
        </w:tc>
        <w:tc>
          <w:tcPr>
            <w:tcW w:w="0" w:type="dxa"/>
            <w:vAlign w:val="bottom"/>
          </w:tcPr>
          <w:p>
            <w:pPr>
              <w:spacing w:after="0"/>
              <w:rPr>
                <w:sz w:val="1"/>
                <w:szCs w:val="1"/>
                <w:color w:val="auto"/>
              </w:rPr>
            </w:pPr>
          </w:p>
        </w:tc>
      </w:tr>
      <w:tr>
        <w:trPr>
          <w:trHeight w:val="23"/>
        </w:trPr>
        <w:tc>
          <w:tcPr>
            <w:tcW w:w="52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interest in Master Trust, at fair value</w:t>
            </w:r>
          </w:p>
        </w:tc>
        <w:tc>
          <w:tcPr>
            <w:tcW w:w="37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0" w:type="dxa"/>
            <w:vAlign w:val="bottom"/>
          </w:tcPr>
          <w:p>
            <w:pPr>
              <w:spacing w:after="0"/>
              <w:rPr>
                <w:sz w:val="1"/>
                <w:szCs w:val="1"/>
                <w:color w:val="auto"/>
              </w:rPr>
            </w:pPr>
          </w:p>
        </w:tc>
      </w:tr>
      <w:tr>
        <w:trPr>
          <w:trHeight w:val="150"/>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780" w:type="dxa"/>
            <w:vAlign w:val="bottom"/>
          </w:tcPr>
          <w:p>
            <w:pPr>
              <w:jc w:val="right"/>
              <w:ind w:right="895"/>
              <w:spacing w:after="0"/>
              <w:rPr>
                <w:sz w:val="20"/>
                <w:szCs w:val="20"/>
                <w:color w:val="auto"/>
              </w:rPr>
            </w:pPr>
            <w:r>
              <w:rPr>
                <w:rFonts w:ascii="Times New Roman" w:cs="Times New Roman" w:eastAsia="Times New Roman" w:hAnsi="Times New Roman"/>
                <w:sz w:val="12"/>
                <w:szCs w:val="12"/>
                <w:color w:val="auto"/>
              </w:rPr>
              <w:t>(1)</w:t>
            </w:r>
          </w:p>
        </w:tc>
        <w:tc>
          <w:tcPr>
            <w:tcW w:w="6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86"/>
        </w:trPr>
        <w:tc>
          <w:tcPr>
            <w:tcW w:w="5220" w:type="dxa"/>
            <w:vAlign w:val="bottom"/>
            <w:tcBorders>
              <w:bottom w:val="single" w:sz="8" w:color="auto"/>
            </w:tcBorders>
            <w:vMerge w:val="continue"/>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parties in interest to the Plan.</w:t>
      </w:r>
    </w:p>
    <w:p>
      <w:pPr>
        <w:spacing w:after="0" w:line="252" w:lineRule="exact"/>
        <w:rPr>
          <w:sz w:val="20"/>
          <w:szCs w:val="20"/>
          <w:color w:val="auto"/>
        </w:rPr>
      </w:pPr>
    </w:p>
    <w:p>
      <w:pPr>
        <w:ind w:firstLine="8"/>
        <w:spacing w:after="0" w:line="229" w:lineRule="auto"/>
        <w:tabs>
          <w:tab w:leader="none" w:pos="20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are consummated at a fixed rate (the current prime rate plus 1.00%) with maturity dates through October 19, 2035. Interest rates range from 4.25% to 9.50% on loans outstanding.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Plan</w:t>
      </w:r>
      <w:r>
        <w:rPr>
          <w:rFonts w:ascii="Times New Roman" w:cs="Times New Roman" w:eastAsia="Times New Roman" w:hAnsi="Times New Roman"/>
          <w:sz w:val="18"/>
          <w:szCs w:val="18"/>
          <w:color w:val="auto"/>
        </w:rPr>
        <w:t>. Pursuant to the requirements of the Securities Exchange Act of 1934, the Plan Administrator has duly caused this annual report to be signed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behalf by the undersigned, thereunto duly authorized.</w:t>
      </w:r>
    </w:p>
    <w:p>
      <w:pPr>
        <w:spacing w:after="0" w:line="200" w:lineRule="exact"/>
        <w:rPr>
          <w:sz w:val="20"/>
          <w:szCs w:val="20"/>
          <w:color w:val="auto"/>
        </w:rPr>
      </w:pPr>
    </w:p>
    <w:p>
      <w:pPr>
        <w:spacing w:after="0" w:line="24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u w:val="single" w:color="auto"/>
          <w:color w:val="auto"/>
        </w:rPr>
        <w:t>Mohawk Industries Retirement Plan 2</w:t>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73" w:lineRule="exact"/>
        <w:rPr>
          <w:sz w:val="20"/>
          <w:szCs w:val="20"/>
          <w:color w:val="auto"/>
        </w:rPr>
      </w:pPr>
    </w:p>
    <w:p>
      <w:pPr>
        <w:ind w:left="20"/>
        <w:spacing w:after="0"/>
        <w:tabs>
          <w:tab w:leader="none" w:pos="7900" w:val="left"/>
        </w:tabs>
        <w:rPr>
          <w:sz w:val="20"/>
          <w:szCs w:val="20"/>
          <w:color w:val="auto"/>
        </w:rPr>
      </w:pPr>
      <w:r>
        <w:rPr>
          <w:rFonts w:ascii="Times New Roman" w:cs="Times New Roman" w:eastAsia="Times New Roman" w:hAnsi="Times New Roman"/>
          <w:sz w:val="18"/>
          <w:szCs w:val="18"/>
          <w:color w:val="auto"/>
        </w:rPr>
        <w:t>June 24, 2026</w:t>
      </w:r>
      <w:r>
        <w:rPr>
          <w:sz w:val="20"/>
          <w:szCs w:val="20"/>
          <w:color w:val="auto"/>
        </w:rPr>
        <w:tab/>
      </w:r>
      <w:r>
        <w:rPr>
          <w:rFonts w:ascii="Times New Roman" w:cs="Times New Roman" w:eastAsia="Times New Roman" w:hAnsi="Times New Roman"/>
          <w:sz w:val="17"/>
          <w:szCs w:val="17"/>
          <w:color w:val="auto"/>
        </w:rPr>
        <w:t>By: /s/ Katie Engleman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jc w:val="right"/>
        <w:ind w:right="3699"/>
        <w:spacing w:after="0"/>
        <w:rPr>
          <w:sz w:val="20"/>
          <w:szCs w:val="20"/>
          <w:color w:val="auto"/>
        </w:rPr>
      </w:pPr>
      <w:r>
        <w:rPr>
          <w:rFonts w:ascii="Times New Roman" w:cs="Times New Roman" w:eastAsia="Times New Roman" w:hAnsi="Times New Roman"/>
          <w:sz w:val="18"/>
          <w:szCs w:val="18"/>
          <w:color w:val="auto"/>
        </w:rPr>
        <w:t>Exhibits to Form 11-K</w:t>
      </w:r>
    </w:p>
    <w:p>
      <w:pPr>
        <w:spacing w:after="0" w:line="293"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Exhibit 23.1</w:t>
      </w:r>
      <w:r>
        <w:rPr>
          <w:sz w:val="20"/>
          <w:szCs w:val="20"/>
          <w:color w:val="auto"/>
        </w:rPr>
        <w:tab/>
      </w:r>
      <w:r>
        <w:rPr>
          <w:rFonts w:ascii="Times New Roman" w:cs="Times New Roman" w:eastAsia="Times New Roman" w:hAnsi="Times New Roman"/>
          <w:sz w:val="17"/>
          <w:szCs w:val="17"/>
          <w:u w:val="single" w:color="auto"/>
          <w:color w:val="0000FF"/>
        </w:rPr>
        <w:t>Consent of Warren Averett,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679"/>
          </w:cols>
          <w:pgMar w:left="780" w:top="1417"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Carpet,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Industries Retirement Plan 2:</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(Nos. 333-249879 and 333-213078) on Form S-8 of Mohawk Industries, Inc. of our report dated June 24, 2026, with respect to the statements of net assets available for plan benefits of the Mohawk Industries Retirement Plan 2 as of December 31, 2025 and 2024, the related statement of changes in net assets available for plan benefits for the year ended December 31, 2025, and the supplemental schedule H, Line 4i - schedule of assets (held at end of year), as of December 31, 2025, which appears in the December 31, 2025 annual report on Form 11-K of the Mohawk Industries Retirement Plan 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Warren Averett,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2026-06-24T15:04:36Z</dcterms:created>
  <dcterms:modified xsi:type="dcterms:W3CDTF">2026-06-24T15:04:36Z</dcterms:modified>
</cp:coreProperties>
</file>