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379-1_4seq1.xml.htm"/>
      <w:bookmarkStart w:id="1" w:name="kstm262537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LORBERBAUM JEFFREY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 SOUTH INDUSTRIAL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12069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CALHOUN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MOHAWK INDUSTRIES INC</w:t>
              </w:r>
            </w:hyperlink>
            <w:r>
              <w:rPr/>
              <w:t xml:space="preserve"> [ </w:t>
            </w:r>
            <w:r>
              <w:rPr>
                <w:rFonts w:ascii="Times;serif" w:hAnsi="Times;serif"/>
                <w:color w:val="0000FF"/>
                <w:sz w:val="24"/>
                <w:shd w:fill="FFFFFF" w:val="clear"/>
              </w:rPr>
              <w:t>MHK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0"/>
        <w:gridCol w:w="901"/>
        <w:gridCol w:w="773"/>
        <w:gridCol w:w="598"/>
        <w:gridCol w:w="338"/>
        <w:gridCol w:w="903"/>
        <w:gridCol w:w="425"/>
        <w:gridCol w:w="878"/>
        <w:gridCol w:w="1287"/>
        <w:gridCol w:w="961"/>
        <w:gridCol w:w="106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19,041</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126.84</w:t>
            </w:r>
            <w:r>
              <w:rPr>
                <w:rFonts w:ascii="Times;serif" w:hAnsi="Times;serif"/>
                <w:color w:val="008000"/>
                <w:position w:val="7"/>
                <w:sz w:val="16"/>
                <w:sz w:val="20"/>
                <w:shd w:fill="FFFFFF" w:val="clear"/>
              </w:rPr>
              <w:t>(2)</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116,759</w:t>
            </w:r>
            <w:r>
              <w:rPr>
                <w:rFonts w:ascii="Times;serif" w:hAnsi="Times;serif"/>
                <w:color w:val="008000"/>
                <w:position w:val="7"/>
                <w:sz w:val="16"/>
                <w:sz w:val="20"/>
                <w:shd w:fill="FFFFFF" w:val="clear"/>
              </w:rPr>
              <w:t>(1)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127.52</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116,675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38,250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127.18</w:t>
            </w:r>
            <w:r>
              <w:rPr>
                <w:rFonts w:ascii="Times;serif" w:hAnsi="Times;serif"/>
                <w:color w:val="008000"/>
                <w:position w:val="7"/>
                <w:sz w:val="16"/>
                <w:sz w:val="20"/>
                <w:shd w:fill="FFFFFF" w:val="clear"/>
              </w:rPr>
              <w:t>(3)</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78,425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3,419</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126.84</w:t>
            </w:r>
            <w:r>
              <w:rPr>
                <w:rFonts w:ascii="Times;serif" w:hAnsi="Times;serif"/>
                <w:color w:val="008000"/>
                <w:position w:val="7"/>
                <w:sz w:val="16"/>
                <w:sz w:val="20"/>
                <w:shd w:fill="FFFFFF" w:val="clear"/>
              </w:rPr>
              <w:t>(2)</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392,668</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127.52</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392,653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127.18</w:t>
            </w:r>
            <w:r>
              <w:rPr>
                <w:rFonts w:ascii="Times;serif" w:hAnsi="Times;serif"/>
                <w:color w:val="008000"/>
                <w:position w:val="7"/>
                <w:sz w:val="16"/>
                <w:sz w:val="20"/>
                <w:shd w:fill="FFFFFF" w:val="clear"/>
              </w:rPr>
              <w:t>(3)</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385,153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126.84</w:t>
            </w:r>
            <w:r>
              <w:rPr>
                <w:rFonts w:ascii="Times;serif" w:hAnsi="Times;serif"/>
                <w:color w:val="008000"/>
                <w:position w:val="7"/>
                <w:sz w:val="16"/>
                <w:sz w:val="20"/>
                <w:shd w:fill="FFFFFF" w:val="clear"/>
              </w:rPr>
              <w:t>(2)</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434,026</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JSL Legacy Fund LP</w:t>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127.52</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434,025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JSL Legacy Fund LP</w:t>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8,006,885</w:t>
            </w:r>
            <w:r>
              <w:rPr>
                <w:rFonts w:ascii="Times;serif" w:hAnsi="Times;serif"/>
                <w:color w:val="008000"/>
                <w:position w:val="7"/>
                <w:sz w:val="16"/>
                <w:sz w:val="20"/>
                <w:shd w:fill="FFFFFF" w:val="clear"/>
              </w:rPr>
              <w:t>(1)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Aladdin Partners, LP</w:t>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79,625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315,002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 Trust</w:t>
            </w:r>
          </w:p>
        </w:tc>
      </w:tr>
      <w:tr>
        <w:trPr/>
        <w:tc>
          <w:tcPr>
            <w:tcW w:w="20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19,140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Partners</w:t>
            </w:r>
          </w:p>
        </w:tc>
      </w:tr>
      <w:tr>
        <w:trPr/>
        <w:tc>
          <w:tcPr>
            <w:tcW w:w="20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Managed Account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Holdings adjusted to reflect a transfer of 125,800 shares from Aladdin Partners, L.P. to MCL Family Funds Trust on September 10, 2026. The transfer of such shares is exempt from Section 16 pursuant to Rule 16a-13. The reporting person disclaims beneficial ownership of the shares held by each of Aladdin Partners, L.P. and MCL Family Funds Trust to the extent he does not have a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$126.50 to $127.48,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$127.00 to $127.60,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Tiffany Kleimann, Attorney-in-fact For: Jeffrey S Lorberbaum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5177" TargetMode="External"/><Relationship Id="rId5" Type="http://schemas.openxmlformats.org/officeDocument/2006/relationships/hyperlink" Target="http://www.sec.gov/cgi-bin/browse-edgar?action=getcompany&amp;CIK=000085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904</Words>
  <Characters>4772</Characters>
  <CharactersWithSpaces>5523</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