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Coni Claudio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 SOUTH INDUSTRIAL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CALHOUN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MOHAWK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135.65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related to meeting tax obligations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Tiffany Kleimann, Attorney-in-fact For: Claudio Coni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conipoa.txt"/>
      <w:bookmarkStart w:id="3" w:name="ksconipoa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 REPORTING PURPOSES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R. David Patton, Corporate Secretary;</w:t>
      </w:r>
    </w:p>
    <w:p>
      <w:pPr>
        <w:pStyle w:val="PreformattedText"/>
        <w:bidi w:val="0"/>
        <w:spacing w:before="0" w:after="0"/>
        <w:jc w:val="left"/>
        <w:rPr/>
      </w:pPr>
      <w:r>
        <w:rPr/>
        <w:t>Katie Engleman, Senior Vice President - Human Resources;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Tiffany Kleimann, Director - Compensation; any individual who hereafter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holds any of the foregoing offices; and any duly appointed Assistant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Secretary of Mohawk Industries, Inc.  (the "Company"),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re-substitution,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as hereinafter described on behalf of and in the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obtain credentials (including codes or passwords)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documents, forms and information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Section 16(a) of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 or any rule or regulation of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("SEC") via the Electronic Data Gathering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Retrieval ("EDGAR") system, including (i) preparing, executing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name and on the undersigned's behalf, and submitting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 a Form ID (and any amendments thereto) or any other documents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appropriate to obtain such credentials and legally binding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purpose of the Form ID or such other documents; and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or any successor filing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technical administrators, account users,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Filer's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maintaining, modifying and certifying the accuracy of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dashboard;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taking any other actions 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cause the Company to accept a delegation of authority from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 authorize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account administrators pursuant to that delegated entity designation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the undersigned's EDGAR 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execute for, and on behalf of,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relating to the Company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Exchange Act the rules and regulations promulgated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Forms 144 in accordance with Rule 144 under the Securities Act of 1933,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(the "Securities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on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any attorney-in-fact and further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approves and ratifies any such release of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do and perform any and all acts for, and on behalf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that may be necessary or desirable to prepare,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 or 5, or Forms 144, and any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other required report and timely file such forms or reports with the SEC,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New York Stock Exchange and any stock exchange or similar authority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considered necessary or advisable under Section 16(a)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Rule 144 of the Securities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that,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it 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Limited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sole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acknowledges that (a)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are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undersigned; (b) this Limited Power of Attorney authorizes, but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require, each such attorney-in-fact to act in his or her discretion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verification of such information; (c) any documents prepared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any attorney-in-fact on behalf of the undersigned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this 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and disclosure as such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sole discretion, deems necessary or advisable; (d) neither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any attorney-in-fact assumes 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requirements of the Exchange Act 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Act, (ii) any liability of the undersigned for any failure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such requirements or (iii) any obligation or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profit disgorgement under Section 16(b)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(e) this Limited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or the Securities Act, including, without limitation,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 and 5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144 with respect to the undersigned's holdings of, and transactions in,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15th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/s/ Claudio Coni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Claudio Coni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0489" TargetMode="External"/><Relationship Id="rId5" Type="http://schemas.openxmlformats.org/officeDocument/2006/relationships/hyperlink" Target="http://www.sec.gov/cgi-bin/browse-edgar?action=getcompany&amp;CIK=000085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1492</Words>
  <Characters>8203</Characters>
  <CharactersWithSpaces>9559</CharactersWithSpaces>
  <Paragraphs>187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