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left"/>
        <w:rPr/>
      </w:pPr>
      <w:hyperlink w:anchor="i1643453db6654ca39ea0a46a8e0a40e2_4">
        <w:r>
          <w:rPr>
            <w:rStyle w:val="InternetLink"/>
            <w:rFonts w:ascii="Times New Roman;serif" w:hAnsi="Times New Roman;serif"/>
            <w:b w:val="false"/>
            <w:color w:val="0000FF"/>
            <w:sz w:val="20"/>
            <w:u w:val="single"/>
          </w:rPr>
          <w:t>Table of Contents</w:t>
        </w:r>
      </w:hyperlink>
    </w:p>
    <w:p>
      <w:pPr>
        <w:pStyle w:val="TextBody"/>
        <w:bidi w:val="0"/>
        <w:spacing w:lineRule="auto" w:line="333"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333"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333" w:before="0" w:after="100"/>
        <w:jc w:val="left"/>
        <w:rPr>
          <w:rFonts w:ascii="Times New Roman;serif" w:hAnsi="Times New Roman;serif"/>
          <w:b w:val="false"/>
          <w:color w:val="000000"/>
          <w:sz w:val="16"/>
        </w:rPr>
      </w:pPr>
      <w:r>
        <w:rPr>
          <w:rFonts w:ascii="Times New Roman;serif" w:hAnsi="Times New Roman;serif"/>
          <w:b w:val="false"/>
          <w:color w:val="000000"/>
          <w:sz w:val="16"/>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July 4, 2026 </w:t>
      </w:r>
    </w:p>
    <w:p>
      <w:pPr>
        <w:pStyle w:val="TextBody"/>
        <w:bidi w:val="0"/>
        <w:spacing w:lineRule="auto" w:line="333" w:before="60" w:after="40"/>
        <w:jc w:val="center"/>
        <w:rPr/>
      </w:pPr>
      <w:r>
        <w:rPr>
          <w:rFonts w:ascii="Times New Roman;serif" w:hAnsi="Times New Roman;serif"/>
          <w:b/>
          <w:color w:val="000000"/>
          <w:sz w:val="20"/>
        </w:rPr>
        <w:t>OR</w:t>
      </w:r>
      <w:r>
        <w:rPr>
          <w:color w:val="000000"/>
        </w:rPr>
        <w:t> </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before="0" w:after="0"/>
        <w:jc w:val="center"/>
        <w:rPr/>
      </w:pPr>
      <w:r>
        <w:rPr/>
      </w:r>
    </w:p>
    <w:p>
      <w:pPr>
        <w:pStyle w:val="TextBody"/>
        <w:bidi w:val="0"/>
        <w:spacing w:lineRule="auto" w:line="333" w:before="0" w:after="180"/>
        <w:jc w:val="center"/>
        <w:rPr>
          <w:rFonts w:ascii="Times New Roman;serif" w:hAnsi="Times New Roman;serif"/>
          <w:b/>
          <w:color w:val="000000"/>
          <w:sz w:val="20"/>
        </w:rPr>
      </w:pPr>
      <w:r>
        <w:rPr>
          <w:rFonts w:ascii="Times New Roman;serif" w:hAnsi="Times New Roman;serif"/>
          <w:b/>
          <w:color w:val="000000"/>
          <w:sz w:val="20"/>
        </w:rPr>
        <w:t xml:space="preserve">Commission File Number 01-13697 </w:t>
      </w:r>
    </w:p>
    <w:p>
      <w:pPr>
        <w:pStyle w:val="TextBody"/>
        <w:bidi w:val="0"/>
        <w:spacing w:before="60" w:after="283"/>
        <w:jc w:val="center"/>
        <w:rPr/>
      </w:pPr>
      <w:r>
        <w:rPr/>
        <w:drawing>
          <wp:inline distT="0" distB="0" distL="0" distR="0">
            <wp:extent cx="1666875" cy="752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66875" cy="752475"/>
                    </a:xfrm>
                    <a:prstGeom prst="rect">
                      <a:avLst/>
                    </a:prstGeom>
                  </pic:spPr>
                </pic:pic>
              </a:graphicData>
            </a:graphic>
          </wp:inline>
        </w:drawing>
      </w:r>
      <w:bookmarkStart w:id="0" w:name="i-1"/>
      <w:bookmarkEnd w:id="0"/>
    </w:p>
    <w:p>
      <w:pPr>
        <w:pStyle w:val="TextBody"/>
        <w:bidi w:val="0"/>
        <w:spacing w:lineRule="auto" w:line="333" w:before="0" w:after="0"/>
        <w:jc w:val="center"/>
        <w:rPr>
          <w:color w:val="000000"/>
        </w:rPr>
      </w:pPr>
      <w:r>
        <w:rPr>
          <w:color w:val="000000"/>
        </w:rPr>
        <w:t> </w:t>
      </w:r>
      <w:r>
        <w:rPr>
          <w:rFonts w:ascii="Times New Roman;serif" w:hAnsi="Times New Roman;serif"/>
          <w:b w:val="false"/>
          <w:color w:val="000000"/>
          <w:sz w:val="20"/>
        </w:rPr>
        <w:t>__________________________________________</w:t>
      </w:r>
    </w:p>
    <w:p>
      <w:pPr>
        <w:pStyle w:val="TextBody"/>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 xml:space="preserve">MOHAWK INDUSTRIES, INC. </w:t>
      </w:r>
    </w:p>
    <w:p>
      <w:pPr>
        <w:pStyle w:val="TextBody"/>
        <w:bidi w:val="0"/>
        <w:spacing w:lineRule="auto" w:line="333" w:before="0" w:after="10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6223" w:type="dxa"/>
        <w:jc w:val="left"/>
        <w:tblInd w:w="0" w:type="dxa"/>
        <w:tblLayout w:type="fixed"/>
        <w:tblCellMar>
          <w:top w:w="28" w:type="dxa"/>
          <w:left w:w="28" w:type="dxa"/>
          <w:bottom w:w="28" w:type="dxa"/>
          <w:right w:w="28" w:type="dxa"/>
        </w:tblCellMar>
      </w:tblPr>
      <w:tblGrid>
        <w:gridCol w:w="1058"/>
        <w:gridCol w:w="929"/>
        <w:gridCol w:w="938"/>
        <w:gridCol w:w="260"/>
        <w:gridCol w:w="260"/>
        <w:gridCol w:w="261"/>
        <w:gridCol w:w="235"/>
        <w:gridCol w:w="235"/>
        <w:gridCol w:w="236"/>
        <w:gridCol w:w="109"/>
        <w:gridCol w:w="109"/>
        <w:gridCol w:w="109"/>
        <w:gridCol w:w="432"/>
        <w:gridCol w:w="432"/>
        <w:gridCol w:w="620"/>
      </w:tblGrid>
      <w:tr>
        <w:trPr/>
        <w:tc>
          <w:tcPr>
            <w:tcW w:w="105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52-1604305</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40" w:before="0" w:after="30"/>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30"/>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160 S. Industrial Blvd.</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Calhoun</w:t>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30701</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 xml:space="preserve">Registrant’s telephone number, including area code: (706) 629-7721 </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 </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7228" w:type="dxa"/>
        <w:jc w:val="left"/>
        <w:tblInd w:w="0" w:type="dxa"/>
        <w:tblLayout w:type="fixed"/>
        <w:tblCellMar>
          <w:top w:w="28" w:type="dxa"/>
          <w:left w:w="28" w:type="dxa"/>
          <w:bottom w:w="28" w:type="dxa"/>
          <w:right w:w="28" w:type="dxa"/>
        </w:tblCellMar>
      </w:tblPr>
      <w:tblGrid>
        <w:gridCol w:w="898"/>
        <w:gridCol w:w="793"/>
        <w:gridCol w:w="798"/>
        <w:gridCol w:w="424"/>
        <w:gridCol w:w="424"/>
        <w:gridCol w:w="426"/>
        <w:gridCol w:w="1014"/>
        <w:gridCol w:w="1014"/>
        <w:gridCol w:w="1437"/>
      </w:tblGrid>
      <w:tr>
        <w:trPr/>
        <w:tc>
          <w:tcPr>
            <w:tcW w:w="89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$.01 par value</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MHK</w:t>
            </w:r>
          </w:p>
        </w:tc>
        <w:tc>
          <w:tcPr>
            <w:tcW w:w="3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New York Stock Exchange</w:t>
            </w:r>
          </w:p>
        </w:tc>
      </w:tr>
    </w:tbl>
    <w:p>
      <w:pPr>
        <w:pStyle w:val="TextBody"/>
        <w:bidi w:val="0"/>
        <w:spacing w:lineRule="auto" w:line="333" w:before="60" w:after="283"/>
        <w:ind w:left="0" w:right="0" w:firstLine="495"/>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333" w:before="60" w:after="283"/>
        <w:ind w:left="0" w:right="0" w:firstLine="495"/>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Wingdings;sans-serif" w:hAnsi="Wingdings;sans-serif"/>
          <w:b w:val="false"/>
          <w:color w:val="000000"/>
          <w:sz w:val="18"/>
        </w:rPr>
        <w:t>x</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333" w:before="60" w:after="100"/>
        <w:ind w:left="0" w:right="0" w:firstLine="495"/>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30"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8"/>
        <w:gridCol w:w="678"/>
        <w:gridCol w:w="683"/>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333" w:before="0" w:after="0"/>
        <w:ind w:left="0" w:right="0" w:firstLine="495"/>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pPr>
      <w:hyperlink w:anchor="i1643453db6654ca39ea0a46a8e0a40e2_4">
        <w:r>
          <w:rPr>
            <w:rStyle w:val="InternetLink"/>
            <w:rFonts w:ascii="Times New Roman;serif" w:hAnsi="Times New Roman;serif"/>
            <w:b w:val="false"/>
            <w:color w:val="0000FF"/>
            <w:sz w:val="20"/>
            <w:u w:val="single"/>
          </w:rPr>
          <w:t>Table of Contents</w:t>
        </w:r>
      </w:hyperlink>
    </w:p>
    <w:p>
      <w:pPr>
        <w:pStyle w:val="TextBody"/>
        <w:bidi w:val="0"/>
        <w:spacing w:lineRule="auto" w:line="333" w:before="60" w:after="283"/>
        <w:ind w:left="0" w:right="0" w:firstLine="495"/>
        <w:jc w:val="left"/>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No  </w:t>
      </w:r>
      <w:r>
        <w:rPr>
          <w:rFonts w:ascii="Wingdings;sans-serif" w:hAnsi="Wingdings;sans-serif"/>
          <w:b w:val="false"/>
          <w:color w:val="000000"/>
          <w:sz w:val="18"/>
        </w:rPr>
        <w:t>x</w:t>
      </w:r>
      <w:r>
        <w:rPr>
          <w:color w:val="000000"/>
        </w:rPr>
        <w:t xml:space="preserve"> </w:t>
      </w:r>
    </w:p>
    <w:p>
      <w:pPr>
        <w:pStyle w:val="TextBody"/>
        <w:bidi w:val="0"/>
        <w:spacing w:lineRule="auto" w:line="333" w:before="160" w:after="283"/>
        <w:ind w:left="0" w:right="0" w:firstLine="495"/>
        <w:jc w:val="left"/>
        <w:rPr>
          <w:rFonts w:ascii="Times New Roman;serif" w:hAnsi="Times New Roman;serif"/>
          <w:b w:val="false"/>
          <w:color w:val="000000"/>
          <w:sz w:val="18"/>
        </w:rPr>
      </w:pPr>
      <w:r>
        <w:rPr>
          <w:rFonts w:ascii="Times New Roman;serif" w:hAnsi="Times New Roman;serif"/>
          <w:b w:val="false"/>
          <w:color w:val="000000"/>
          <w:sz w:val="18"/>
        </w:rPr>
        <w:t xml:space="preserve">The number of shares outstanding of the issuer’s common stock as of July 29, 2026, the latest practicable date, is as follows: 67,738,145 shares of common stock, $.01 par value.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pPr>
      <w:hyperlink w:anchor="i1643453db6654ca39ea0a46a8e0a40e2_4">
        <w:r>
          <w:rPr>
            <w:rStyle w:val="InternetLink"/>
            <w:rFonts w:ascii="Times New Roman;serif" w:hAnsi="Times New Roman;serif"/>
            <w:b w:val="false"/>
            <w:color w:val="0000FF"/>
            <w:sz w:val="20"/>
            <w:u w:val="single"/>
          </w:rPr>
          <w:t>Table of Contents</w:t>
        </w:r>
      </w:hyperlink>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MOHAWK INDUSTRIES, INC.</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INDEX</w:t>
      </w:r>
    </w:p>
    <w:p>
      <w:pPr>
        <w:pStyle w:val="TextBody"/>
        <w:bidi w:val="0"/>
        <w:spacing w:lineRule="auto" w:line="333" w:before="0" w:after="10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05"/>
        <w:gridCol w:w="251"/>
        <w:gridCol w:w="255"/>
        <w:gridCol w:w="2965"/>
        <w:gridCol w:w="2843"/>
        <w:gridCol w:w="2848"/>
        <w:gridCol w:w="215"/>
        <w:gridCol w:w="215"/>
        <w:gridCol w:w="308"/>
      </w:tblGrid>
      <w:tr>
        <w:trPr/>
        <w:tc>
          <w:tcPr>
            <w:tcW w:w="30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965" w:type="dxa"/>
            <w:tcBorders/>
            <w:vAlign w:val="center"/>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Page No</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lineRule="auto" w:line="240" w:before="43" w:after="30"/>
              <w:jc w:val="left"/>
              <w:rPr/>
            </w:pPr>
            <w:hyperlink w:anchor="i1643453db6654ca39ea0a46a8e0a40e2_7">
              <w:r>
                <w:rPr>
                  <w:rStyle w:val="InternetLink"/>
                  <w:rFonts w:ascii="Times New Roman;serif" w:hAnsi="Times New Roman;serif"/>
                  <w:b w:val="false"/>
                  <w:color w:val="0000FF"/>
                  <w:sz w:val="20"/>
                  <w:u w:val="single"/>
                </w:rPr>
                <w:t>Forward Looking Statements</w:t>
              </w:r>
            </w:hyperlink>
          </w:p>
        </w:tc>
        <w:tc>
          <w:tcPr>
            <w:tcW w:w="73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FF"/>
                <w:sz w:val="20"/>
                <w:u w:val="single"/>
              </w:rPr>
            </w:pPr>
            <w:r>
              <w:rPr>
                <w:rFonts w:ascii="Times New Roman;serif" w:hAnsi="Times New Roman;serif"/>
                <w:b w:val="false"/>
                <w:color w:val="0000FF"/>
                <w:sz w:val="20"/>
                <w:u w:val="single"/>
              </w:rPr>
              <w:t>4</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w:t>
            </w:r>
          </w:p>
        </w:tc>
        <w:tc>
          <w:tcPr>
            <w:tcW w:w="8656" w:type="dxa"/>
            <w:gridSpan w:val="3"/>
            <w:tcBorders/>
            <w:tcMar>
              <w:top w:w="0" w:type="dxa"/>
              <w:left w:w="0" w:type="dxa"/>
              <w:bottom w:w="0" w:type="dxa"/>
              <w:right w:w="0" w:type="dxa"/>
            </w:tcMar>
            <w:vAlign w:val="center"/>
          </w:tcPr>
          <w:p>
            <w:pPr>
              <w:pStyle w:val="TableContents"/>
              <w:bidi w:val="0"/>
              <w:spacing w:lineRule="auto" w:line="240" w:before="53" w:after="30"/>
              <w:jc w:val="left"/>
              <w:rPr/>
            </w:pPr>
            <w:hyperlink w:anchor="i1643453db6654ca39ea0a46a8e0a40e2_10">
              <w:r>
                <w:rPr>
                  <w:rStyle w:val="InternetLink"/>
                  <w:rFonts w:ascii="Times New Roman;serif" w:hAnsi="Times New Roman;serif"/>
                  <w:b w:val="false"/>
                  <w:color w:val="0000FF"/>
                  <w:sz w:val="20"/>
                  <w:u w:val="single"/>
                </w:rPr>
                <w:t>FINANCIAL INFORMATION</w:t>
              </w:r>
            </w:hyperlink>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656" w:type="dxa"/>
            <w:gridSpan w:val="3"/>
            <w:tcBorders/>
            <w:tcMar>
              <w:top w:w="0" w:type="dxa"/>
              <w:left w:w="0" w:type="dxa"/>
              <w:bottom w:w="0" w:type="dxa"/>
              <w:right w:w="0" w:type="dxa"/>
            </w:tcMar>
            <w:vAlign w:val="center"/>
          </w:tcPr>
          <w:p>
            <w:pPr>
              <w:pStyle w:val="TableContents"/>
              <w:bidi w:val="0"/>
              <w:spacing w:lineRule="auto" w:line="240" w:before="53" w:after="30"/>
              <w:jc w:val="left"/>
              <w:rPr/>
            </w:pPr>
            <w:hyperlink w:anchor="i1643453db6654ca39ea0a46a8e0a40e2_13">
              <w:r>
                <w:rPr>
                  <w:rStyle w:val="InternetLink"/>
                  <w:rFonts w:ascii="Times New Roman;serif" w:hAnsi="Times New Roman;serif"/>
                  <w:b w:val="false"/>
                  <w:color w:val="0000FF"/>
                  <w:sz w:val="20"/>
                  <w:u w:val="single"/>
                </w:rPr>
                <w:t>Financial Statements (unaudited)</w:t>
              </w:r>
            </w:hyperlink>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w:anchor="i1643453db6654ca39ea0a46a8e0a40e2_16">
              <w:r>
                <w:rPr>
                  <w:rStyle w:val="InternetLink"/>
                  <w:rFonts w:ascii="Times New Roman;serif" w:hAnsi="Times New Roman;serif"/>
                  <w:b w:val="false"/>
                  <w:color w:val="0000FF"/>
                  <w:sz w:val="20"/>
                  <w:u w:val="single"/>
                </w:rPr>
                <w:t>Condensed Consolidated Statements of Operations for the three and six months ended July 04, 2026 and June 28, 2025</w:t>
              </w:r>
            </w:hyperlink>
          </w:p>
        </w:tc>
        <w:tc>
          <w:tcPr>
            <w:tcW w:w="738" w:type="dxa"/>
            <w:gridSpan w:val="3"/>
            <w:tcBorders/>
            <w:tcMar>
              <w:top w:w="0" w:type="dxa"/>
              <w:left w:w="0" w:type="dxa"/>
              <w:bottom w:w="0" w:type="dxa"/>
              <w:right w:w="0" w:type="dxa"/>
            </w:tcMar>
            <w:vAlign w:val="center"/>
          </w:tcPr>
          <w:p>
            <w:pPr>
              <w:pStyle w:val="TableContents"/>
              <w:bidi w:val="0"/>
              <w:spacing w:lineRule="auto" w:line="240" w:before="53" w:after="30"/>
              <w:jc w:val="right"/>
              <w:rPr/>
            </w:pPr>
            <w:hyperlink w:anchor="i1643453db6654ca39ea0a46a8e0a40e2_16">
              <w:r>
                <w:rPr>
                  <w:rStyle w:val="InternetLink"/>
                  <w:rFonts w:ascii="Times New Roman;serif" w:hAnsi="Times New Roman;serif"/>
                  <w:b w:val="false"/>
                  <w:color w:val="0000FF"/>
                  <w:sz w:val="20"/>
                  <w:u w:val="single"/>
                </w:rPr>
                <w:t>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w:anchor="i1643453db6654ca39ea0a46a8e0a40e2_19">
              <w:r>
                <w:rPr>
                  <w:rStyle w:val="InternetLink"/>
                  <w:rFonts w:ascii="Times New Roman;serif" w:hAnsi="Times New Roman;serif"/>
                  <w:b w:val="false"/>
                  <w:color w:val="0000FF"/>
                  <w:sz w:val="20"/>
                  <w:u w:val="single"/>
                </w:rPr>
                <w:t>Condensed Consolidated Statements of Comprehensive Income (Loss) for the three and six months ended July 04, 2026 and June 28, 2025</w:t>
              </w:r>
            </w:hyperlink>
          </w:p>
        </w:tc>
        <w:tc>
          <w:tcPr>
            <w:tcW w:w="73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43453db6654ca39ea0a46a8e0a40e2_19">
              <w:r>
                <w:rPr>
                  <w:rStyle w:val="InternetLink"/>
                  <w:rFonts w:ascii="Times New Roman;serif" w:hAnsi="Times New Roman;serif"/>
                  <w:b w:val="false"/>
                  <w:color w:val="0000FF"/>
                  <w:sz w:val="20"/>
                  <w:u w:val="single"/>
                </w:rPr>
                <w:t>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w:anchor="i1643453db6654ca39ea0a46a8e0a40e2_22">
              <w:r>
                <w:rPr>
                  <w:rStyle w:val="InternetLink"/>
                  <w:rFonts w:ascii="Times New Roman;serif" w:hAnsi="Times New Roman;serif"/>
                  <w:b w:val="false"/>
                  <w:color w:val="0000FF"/>
                  <w:sz w:val="20"/>
                  <w:u w:val="single"/>
                </w:rPr>
                <w:t>Condensed Consolidated Balance Sheets as of July 04, 2026 and December 31, 2025</w:t>
              </w:r>
            </w:hyperlink>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FF"/>
                <w:sz w:val="20"/>
                <w:u w:val="single"/>
              </w:rPr>
            </w:pPr>
            <w:r>
              <w:rPr>
                <w:rFonts w:ascii="Times New Roman;serif" w:hAnsi="Times New Roman;serif"/>
                <w:b w:val="false"/>
                <w:color w:val="0000FF"/>
                <w:sz w:val="20"/>
                <w:u w:val="single"/>
              </w:rPr>
              <w:t>7</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w:anchor="i1643453db6654ca39ea0a46a8e0a40e2_25">
              <w:r>
                <w:rPr>
                  <w:rStyle w:val="InternetLink"/>
                  <w:rFonts w:ascii="Times New Roman;serif" w:hAnsi="Times New Roman;serif"/>
                  <w:b w:val="false"/>
                  <w:color w:val="0000FF"/>
                  <w:sz w:val="20"/>
                  <w:u w:val="single"/>
                </w:rPr>
                <w:t>Condensed Consolidated Statements of Cash Flows for the six months ended July 04, 2026 and June 28, 2025</w:t>
              </w:r>
            </w:hyperlink>
          </w:p>
        </w:tc>
        <w:tc>
          <w:tcPr>
            <w:tcW w:w="738" w:type="dxa"/>
            <w:gridSpan w:val="3"/>
            <w:tcBorders/>
            <w:tcMar>
              <w:top w:w="0" w:type="dxa"/>
              <w:left w:w="0" w:type="dxa"/>
              <w:bottom w:w="0" w:type="dxa"/>
              <w:right w:w="0" w:type="dxa"/>
            </w:tcMar>
            <w:vAlign w:val="center"/>
          </w:tcPr>
          <w:p>
            <w:pPr>
              <w:pStyle w:val="TableContents"/>
              <w:bidi w:val="0"/>
              <w:spacing w:lineRule="auto" w:line="240" w:before="53" w:after="30"/>
              <w:jc w:val="right"/>
              <w:rPr/>
            </w:pPr>
            <w:hyperlink w:anchor="i1643453db6654ca39ea0a46a8e0a40e2_25">
              <w:r>
                <w:rPr>
                  <w:rStyle w:val="InternetLink"/>
                  <w:rFonts w:ascii="Times New Roman;serif" w:hAnsi="Times New Roman;serif"/>
                  <w:b w:val="false"/>
                  <w:color w:val="0000FF"/>
                  <w:sz w:val="20"/>
                  <w:u w:val="single"/>
                </w:rPr>
                <w:t>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lineRule="auto" w:line="240" w:before="53" w:after="30"/>
              <w:jc w:val="left"/>
              <w:rPr/>
            </w:pPr>
            <w:hyperlink w:anchor="i1643453db6654ca39ea0a46a8e0a40e2_28">
              <w:r>
                <w:rPr>
                  <w:rStyle w:val="InternetLink"/>
                  <w:rFonts w:ascii="Times New Roman;serif" w:hAnsi="Times New Roman;serif"/>
                  <w:b w:val="false"/>
                  <w:color w:val="0000FF"/>
                  <w:sz w:val="20"/>
                  <w:u w:val="single"/>
                </w:rPr>
                <w:t>Notes to the Condensed Consolidated Financial Statements</w:t>
              </w:r>
            </w:hyperlink>
          </w:p>
        </w:tc>
        <w:tc>
          <w:tcPr>
            <w:tcW w:w="738" w:type="dxa"/>
            <w:gridSpan w:val="3"/>
            <w:tcBorders/>
            <w:tcMar>
              <w:top w:w="0" w:type="dxa"/>
              <w:left w:w="0" w:type="dxa"/>
              <w:bottom w:w="0" w:type="dxa"/>
              <w:right w:w="0" w:type="dxa"/>
            </w:tcMar>
            <w:vAlign w:val="center"/>
          </w:tcPr>
          <w:p>
            <w:pPr>
              <w:pStyle w:val="TableContents"/>
              <w:bidi w:val="0"/>
              <w:spacing w:lineRule="auto" w:line="240" w:before="53" w:after="30"/>
              <w:jc w:val="right"/>
              <w:rPr/>
            </w:pPr>
            <w:hyperlink w:anchor="i1643453db6654ca39ea0a46a8e0a40e2_28">
              <w:r>
                <w:rPr>
                  <w:rStyle w:val="InternetLink"/>
                  <w:rFonts w:ascii="Times New Roman;serif" w:hAnsi="Times New Roman;serif"/>
                  <w:b w:val="false"/>
                  <w:color w:val="0000FF"/>
                  <w:sz w:val="20"/>
                  <w:u w:val="single"/>
                </w:rPr>
                <w:t>9</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656" w:type="dxa"/>
            <w:gridSpan w:val="3"/>
            <w:tcBorders/>
            <w:tcMar>
              <w:top w:w="0" w:type="dxa"/>
              <w:left w:w="0" w:type="dxa"/>
              <w:bottom w:w="0" w:type="dxa"/>
              <w:right w:w="0" w:type="dxa"/>
            </w:tcMar>
            <w:vAlign w:val="center"/>
          </w:tcPr>
          <w:p>
            <w:pPr>
              <w:pStyle w:val="TableContents"/>
              <w:bidi w:val="0"/>
              <w:spacing w:lineRule="auto" w:line="240" w:before="53" w:after="30"/>
              <w:jc w:val="left"/>
              <w:rPr/>
            </w:pPr>
            <w:hyperlink w:anchor="i1643453db6654ca39ea0a46a8e0a40e2_8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738" w:type="dxa"/>
            <w:gridSpan w:val="3"/>
            <w:tcBorders/>
            <w:tcMar>
              <w:top w:w="0" w:type="dxa"/>
              <w:left w:w="0" w:type="dxa"/>
              <w:bottom w:w="0" w:type="dxa"/>
              <w:right w:w="0" w:type="dxa"/>
            </w:tcMar>
            <w:vAlign w:val="center"/>
          </w:tcPr>
          <w:p>
            <w:pPr>
              <w:pStyle w:val="TableContents"/>
              <w:bidi w:val="0"/>
              <w:spacing w:lineRule="auto" w:line="240" w:before="53" w:after="30"/>
              <w:jc w:val="right"/>
              <w:rPr/>
            </w:pPr>
            <w:hyperlink w:anchor="i1643453db6654ca39ea0a46a8e0a40e2_88">
              <w:r>
                <w:rPr>
                  <w:rStyle w:val="InternetLink"/>
                  <w:rFonts w:ascii="Times New Roman;serif" w:hAnsi="Times New Roman;serif"/>
                  <w:b w:val="false"/>
                  <w:color w:val="0000FF"/>
                  <w:sz w:val="20"/>
                  <w:u w:val="single"/>
                </w:rPr>
                <w:t>28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656" w:type="dxa"/>
            <w:gridSpan w:val="3"/>
            <w:tcBorders/>
            <w:tcMar>
              <w:top w:w="0" w:type="dxa"/>
              <w:left w:w="0" w:type="dxa"/>
              <w:bottom w:w="0" w:type="dxa"/>
              <w:right w:w="0" w:type="dxa"/>
            </w:tcMar>
            <w:vAlign w:val="center"/>
          </w:tcPr>
          <w:p>
            <w:pPr>
              <w:pStyle w:val="TableContents"/>
              <w:bidi w:val="0"/>
              <w:spacing w:lineRule="auto" w:line="240" w:before="53" w:after="30"/>
              <w:jc w:val="left"/>
              <w:rPr/>
            </w:pPr>
            <w:hyperlink w:anchor="i1643453db6654ca39ea0a46a8e0a40e2_100">
              <w:r>
                <w:rPr>
                  <w:rStyle w:val="InternetLink"/>
                  <w:rFonts w:ascii="Times New Roman;serif" w:hAnsi="Times New Roman;serif"/>
                  <w:b w:val="false"/>
                  <w:color w:val="0000FF"/>
                  <w:sz w:val="20"/>
                  <w:u w:val="single"/>
                </w:rPr>
                <w:t>Quantitative and Qualitative Disclosures About Market Risk</w:t>
              </w:r>
            </w:hyperlink>
          </w:p>
        </w:tc>
        <w:tc>
          <w:tcPr>
            <w:tcW w:w="738" w:type="dxa"/>
            <w:gridSpan w:val="3"/>
            <w:tcBorders/>
            <w:tcMar>
              <w:top w:w="0" w:type="dxa"/>
              <w:left w:w="0" w:type="dxa"/>
              <w:bottom w:w="0" w:type="dxa"/>
              <w:right w:w="0" w:type="dxa"/>
            </w:tcMar>
            <w:vAlign w:val="center"/>
          </w:tcPr>
          <w:p>
            <w:pPr>
              <w:pStyle w:val="TableContents"/>
              <w:bidi w:val="0"/>
              <w:spacing w:lineRule="auto" w:line="240" w:before="53" w:after="30"/>
              <w:jc w:val="right"/>
              <w:rPr/>
            </w:pPr>
            <w:hyperlink w:anchor="i1643453db6654ca39ea0a46a8e0a40e2_100">
              <w:r>
                <w:rPr>
                  <w:rStyle w:val="InternetLink"/>
                  <w:rFonts w:ascii="Times New Roman;serif" w:hAnsi="Times New Roman;serif"/>
                  <w:b w:val="false"/>
                  <w:color w:val="0000FF"/>
                  <w:sz w:val="20"/>
                  <w:u w:val="single"/>
                </w:rPr>
                <w:t>37</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656" w:type="dxa"/>
            <w:gridSpan w:val="3"/>
            <w:tcBorders/>
            <w:tcMar>
              <w:top w:w="0" w:type="dxa"/>
              <w:left w:w="0" w:type="dxa"/>
              <w:bottom w:w="0" w:type="dxa"/>
              <w:right w:w="0" w:type="dxa"/>
            </w:tcMar>
            <w:vAlign w:val="center"/>
          </w:tcPr>
          <w:p>
            <w:pPr>
              <w:pStyle w:val="TableContents"/>
              <w:bidi w:val="0"/>
              <w:spacing w:lineRule="auto" w:line="240" w:before="53" w:after="30"/>
              <w:jc w:val="left"/>
              <w:rPr/>
            </w:pPr>
            <w:hyperlink w:anchor="i1643453db6654ca39ea0a46a8e0a40e2_103">
              <w:r>
                <w:rPr>
                  <w:rStyle w:val="InternetLink"/>
                  <w:rFonts w:ascii="Times New Roman;serif" w:hAnsi="Times New Roman;serif"/>
                  <w:b w:val="false"/>
                  <w:color w:val="0000FF"/>
                  <w:sz w:val="20"/>
                  <w:u w:val="single"/>
                </w:rPr>
                <w:t>Controls and Procedures</w:t>
              </w:r>
            </w:hyperlink>
          </w:p>
        </w:tc>
        <w:tc>
          <w:tcPr>
            <w:tcW w:w="738" w:type="dxa"/>
            <w:gridSpan w:val="3"/>
            <w:tcBorders/>
            <w:tcMar>
              <w:top w:w="0" w:type="dxa"/>
              <w:left w:w="0" w:type="dxa"/>
              <w:bottom w:w="0" w:type="dxa"/>
              <w:right w:w="0" w:type="dxa"/>
            </w:tcMar>
            <w:vAlign w:val="center"/>
          </w:tcPr>
          <w:p>
            <w:pPr>
              <w:pStyle w:val="TableContents"/>
              <w:bidi w:val="0"/>
              <w:spacing w:lineRule="auto" w:line="240" w:before="53" w:after="30"/>
              <w:jc w:val="right"/>
              <w:rPr/>
            </w:pPr>
            <w:hyperlink w:anchor="i1643453db6654ca39ea0a46a8e0a40e2_103">
              <w:r>
                <w:rPr>
                  <w:rStyle w:val="InternetLink"/>
                  <w:rFonts w:ascii="Times New Roman;serif" w:hAnsi="Times New Roman;serif"/>
                  <w:b w:val="false"/>
                  <w:color w:val="0000FF"/>
                  <w:sz w:val="20"/>
                  <w:u w:val="single"/>
                </w:rPr>
                <w:t>38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II.</w:t>
            </w:r>
          </w:p>
        </w:tc>
        <w:tc>
          <w:tcPr>
            <w:tcW w:w="8656" w:type="dxa"/>
            <w:gridSpan w:val="3"/>
            <w:tcBorders/>
            <w:tcMar>
              <w:top w:w="0" w:type="dxa"/>
              <w:left w:w="0" w:type="dxa"/>
              <w:bottom w:w="0" w:type="dxa"/>
              <w:right w:w="0" w:type="dxa"/>
            </w:tcMar>
            <w:vAlign w:val="center"/>
          </w:tcPr>
          <w:p>
            <w:pPr>
              <w:pStyle w:val="TableContents"/>
              <w:bidi w:val="0"/>
              <w:spacing w:lineRule="auto" w:line="240" w:before="53" w:after="30"/>
              <w:jc w:val="left"/>
              <w:rPr/>
            </w:pPr>
            <w:hyperlink w:anchor="i1643453db6654ca39ea0a46a8e0a40e2_106">
              <w:r>
                <w:rPr>
                  <w:rStyle w:val="InternetLink"/>
                  <w:rFonts w:ascii="Times New Roman;serif" w:hAnsi="Times New Roman;serif"/>
                  <w:b w:val="false"/>
                  <w:color w:val="0000FF"/>
                  <w:sz w:val="20"/>
                  <w:u w:val="single"/>
                </w:rPr>
                <w:t>OTHER INFORMATION</w:t>
              </w:r>
            </w:hyperlink>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656" w:type="dxa"/>
            <w:gridSpan w:val="3"/>
            <w:tcBorders/>
            <w:tcMar>
              <w:top w:w="0" w:type="dxa"/>
              <w:left w:w="0" w:type="dxa"/>
              <w:bottom w:w="0" w:type="dxa"/>
              <w:right w:w="0" w:type="dxa"/>
            </w:tcMar>
            <w:vAlign w:val="center"/>
          </w:tcPr>
          <w:p>
            <w:pPr>
              <w:pStyle w:val="TableContents"/>
              <w:bidi w:val="0"/>
              <w:spacing w:lineRule="auto" w:line="240" w:before="53" w:after="30"/>
              <w:jc w:val="left"/>
              <w:rPr/>
            </w:pPr>
            <w:hyperlink w:anchor="i1643453db6654ca39ea0a46a8e0a40e2_109">
              <w:r>
                <w:rPr>
                  <w:rStyle w:val="InternetLink"/>
                  <w:rFonts w:ascii="Times New Roman;serif" w:hAnsi="Times New Roman;serif"/>
                  <w:b w:val="false"/>
                  <w:color w:val="0000FF"/>
                  <w:sz w:val="20"/>
                  <w:u w:val="single"/>
                </w:rPr>
                <w:t>Legal Proceedings</w:t>
              </w:r>
            </w:hyperlink>
          </w:p>
        </w:tc>
        <w:tc>
          <w:tcPr>
            <w:tcW w:w="738" w:type="dxa"/>
            <w:gridSpan w:val="3"/>
            <w:tcBorders/>
            <w:tcMar>
              <w:top w:w="0" w:type="dxa"/>
              <w:left w:w="0" w:type="dxa"/>
              <w:bottom w:w="0" w:type="dxa"/>
              <w:right w:w="0" w:type="dxa"/>
            </w:tcMar>
            <w:vAlign w:val="center"/>
          </w:tcPr>
          <w:p>
            <w:pPr>
              <w:pStyle w:val="TableContents"/>
              <w:bidi w:val="0"/>
              <w:spacing w:lineRule="auto" w:line="240" w:before="53" w:after="30"/>
              <w:jc w:val="right"/>
              <w:rPr/>
            </w:pPr>
            <w:hyperlink w:anchor="i1643453db6654ca39ea0a46a8e0a40e2_109">
              <w:r>
                <w:rPr>
                  <w:rStyle w:val="InternetLink"/>
                  <w:rFonts w:ascii="Times New Roman;serif" w:hAnsi="Times New Roman;serif"/>
                  <w:b w:val="false"/>
                  <w:color w:val="0000FF"/>
                  <w:sz w:val="20"/>
                  <w:u w:val="single"/>
                </w:rPr>
                <w:t>39</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656" w:type="dxa"/>
            <w:gridSpan w:val="3"/>
            <w:tcBorders/>
            <w:tcMar>
              <w:top w:w="0" w:type="dxa"/>
              <w:left w:w="0" w:type="dxa"/>
              <w:bottom w:w="0" w:type="dxa"/>
              <w:right w:w="0" w:type="dxa"/>
            </w:tcMar>
            <w:vAlign w:val="center"/>
          </w:tcPr>
          <w:p>
            <w:pPr>
              <w:pStyle w:val="TableContents"/>
              <w:bidi w:val="0"/>
              <w:spacing w:lineRule="auto" w:line="240" w:before="53" w:after="30"/>
              <w:jc w:val="left"/>
              <w:rPr/>
            </w:pPr>
            <w:hyperlink w:anchor="i1643453db6654ca39ea0a46a8e0a40e2_112">
              <w:r>
                <w:rPr>
                  <w:rStyle w:val="InternetLink"/>
                  <w:rFonts w:ascii="Times New Roman;serif" w:hAnsi="Times New Roman;serif"/>
                  <w:b w:val="false"/>
                  <w:color w:val="0000FF"/>
                  <w:sz w:val="20"/>
                  <w:u w:val="single"/>
                </w:rPr>
                <w:t>Risk Factors</w:t>
              </w:r>
            </w:hyperlink>
          </w:p>
        </w:tc>
        <w:tc>
          <w:tcPr>
            <w:tcW w:w="738" w:type="dxa"/>
            <w:gridSpan w:val="3"/>
            <w:tcBorders/>
            <w:tcMar>
              <w:top w:w="0" w:type="dxa"/>
              <w:left w:w="0" w:type="dxa"/>
              <w:bottom w:w="0" w:type="dxa"/>
              <w:right w:w="0" w:type="dxa"/>
            </w:tcMar>
            <w:vAlign w:val="center"/>
          </w:tcPr>
          <w:p>
            <w:pPr>
              <w:pStyle w:val="TableContents"/>
              <w:bidi w:val="0"/>
              <w:spacing w:lineRule="auto" w:line="240" w:before="53" w:after="30"/>
              <w:jc w:val="right"/>
              <w:rPr/>
            </w:pPr>
            <w:hyperlink w:anchor="i1643453db6654ca39ea0a46a8e0a40e2_112">
              <w:r>
                <w:rPr>
                  <w:rStyle w:val="InternetLink"/>
                  <w:rFonts w:ascii="Times New Roman;serif" w:hAnsi="Times New Roman;serif"/>
                  <w:b w:val="false"/>
                  <w:color w:val="0000FF"/>
                  <w:sz w:val="20"/>
                  <w:u w:val="single"/>
                </w:rPr>
                <w:t>39</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656" w:type="dxa"/>
            <w:gridSpan w:val="3"/>
            <w:tcBorders/>
            <w:tcMar>
              <w:top w:w="0" w:type="dxa"/>
              <w:left w:w="0" w:type="dxa"/>
              <w:bottom w:w="0" w:type="dxa"/>
              <w:right w:w="0" w:type="dxa"/>
            </w:tcMar>
            <w:vAlign w:val="center"/>
          </w:tcPr>
          <w:p>
            <w:pPr>
              <w:pStyle w:val="TableContents"/>
              <w:bidi w:val="0"/>
              <w:spacing w:lineRule="auto" w:line="240" w:before="53" w:after="30"/>
              <w:jc w:val="left"/>
              <w:rPr/>
            </w:pPr>
            <w:hyperlink w:anchor="i1643453db6654ca39ea0a46a8e0a40e2_115">
              <w:r>
                <w:rPr>
                  <w:rStyle w:val="InternetLink"/>
                  <w:rFonts w:ascii="Times New Roman;serif" w:hAnsi="Times New Roman;serif"/>
                  <w:b w:val="false"/>
                  <w:color w:val="0000FF"/>
                  <w:sz w:val="20"/>
                  <w:u w:val="single"/>
                </w:rPr>
                <w:t>Unregistered Sales of Equity Securities and Use of Proceeds</w:t>
              </w:r>
            </w:hyperlink>
          </w:p>
        </w:tc>
        <w:tc>
          <w:tcPr>
            <w:tcW w:w="738" w:type="dxa"/>
            <w:gridSpan w:val="3"/>
            <w:tcBorders/>
            <w:tcMar>
              <w:top w:w="0" w:type="dxa"/>
              <w:left w:w="0" w:type="dxa"/>
              <w:bottom w:w="0" w:type="dxa"/>
              <w:right w:w="0" w:type="dxa"/>
            </w:tcMar>
            <w:vAlign w:val="center"/>
          </w:tcPr>
          <w:p>
            <w:pPr>
              <w:pStyle w:val="TableContents"/>
              <w:bidi w:val="0"/>
              <w:spacing w:lineRule="auto" w:line="240" w:before="53" w:after="30"/>
              <w:jc w:val="right"/>
              <w:rPr/>
            </w:pPr>
            <w:hyperlink w:anchor="i1643453db6654ca39ea0a46a8e0a40e2_115">
              <w:r>
                <w:rPr>
                  <w:rStyle w:val="InternetLink"/>
                  <w:rFonts w:ascii="Times New Roman;serif" w:hAnsi="Times New Roman;serif"/>
                  <w:b w:val="false"/>
                  <w:color w:val="0000FF"/>
                  <w:sz w:val="20"/>
                  <w:u w:val="single"/>
                </w:rPr>
                <w:t>39</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656" w:type="dxa"/>
            <w:gridSpan w:val="3"/>
            <w:tcBorders/>
            <w:tcMar>
              <w:top w:w="0" w:type="dxa"/>
              <w:left w:w="0" w:type="dxa"/>
              <w:bottom w:w="0" w:type="dxa"/>
              <w:right w:w="0" w:type="dxa"/>
            </w:tcMar>
            <w:vAlign w:val="center"/>
          </w:tcPr>
          <w:p>
            <w:pPr>
              <w:pStyle w:val="TableContents"/>
              <w:bidi w:val="0"/>
              <w:spacing w:lineRule="auto" w:line="240" w:before="53" w:after="30"/>
              <w:jc w:val="left"/>
              <w:rPr/>
            </w:pPr>
            <w:hyperlink w:anchor="i1643453db6654ca39ea0a46a8e0a40e2_121">
              <w:r>
                <w:rPr>
                  <w:rStyle w:val="InternetLink"/>
                  <w:rFonts w:ascii="Times New Roman;serif" w:hAnsi="Times New Roman;serif"/>
                  <w:b w:val="false"/>
                  <w:color w:val="0000FF"/>
                  <w:sz w:val="20"/>
                  <w:u w:val="single"/>
                </w:rPr>
                <w:t>Defaults Upon Senior Securities</w:t>
              </w:r>
            </w:hyperlink>
          </w:p>
        </w:tc>
        <w:tc>
          <w:tcPr>
            <w:tcW w:w="738" w:type="dxa"/>
            <w:gridSpan w:val="3"/>
            <w:tcBorders/>
            <w:tcMar>
              <w:top w:w="0" w:type="dxa"/>
              <w:left w:w="0" w:type="dxa"/>
              <w:bottom w:w="0" w:type="dxa"/>
              <w:right w:w="0" w:type="dxa"/>
            </w:tcMar>
            <w:vAlign w:val="center"/>
          </w:tcPr>
          <w:p>
            <w:pPr>
              <w:pStyle w:val="TableContents"/>
              <w:bidi w:val="0"/>
              <w:spacing w:lineRule="auto" w:line="240" w:before="53" w:after="30"/>
              <w:jc w:val="right"/>
              <w:rPr/>
            </w:pPr>
            <w:hyperlink w:anchor="i1643453db6654ca39ea0a46a8e0a40e2_121">
              <w:r>
                <w:rPr>
                  <w:rStyle w:val="InternetLink"/>
                  <w:rFonts w:ascii="Times New Roman;serif" w:hAnsi="Times New Roman;serif"/>
                  <w:b w:val="false"/>
                  <w:color w:val="0000FF"/>
                  <w:sz w:val="20"/>
                  <w:u w:val="single"/>
                </w:rPr>
                <w:t>39</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656" w:type="dxa"/>
            <w:gridSpan w:val="3"/>
            <w:tcBorders/>
            <w:tcMar>
              <w:top w:w="0" w:type="dxa"/>
              <w:left w:w="0" w:type="dxa"/>
              <w:bottom w:w="0" w:type="dxa"/>
              <w:right w:w="0" w:type="dxa"/>
            </w:tcMar>
            <w:vAlign w:val="center"/>
          </w:tcPr>
          <w:p>
            <w:pPr>
              <w:pStyle w:val="TableContents"/>
              <w:bidi w:val="0"/>
              <w:spacing w:lineRule="auto" w:line="240" w:before="53" w:after="30"/>
              <w:jc w:val="left"/>
              <w:rPr/>
            </w:pPr>
            <w:hyperlink w:anchor="i1643453db6654ca39ea0a46a8e0a40e2_124">
              <w:r>
                <w:rPr>
                  <w:rStyle w:val="InternetLink"/>
                  <w:rFonts w:ascii="Times New Roman;serif" w:hAnsi="Times New Roman;serif"/>
                  <w:b w:val="false"/>
                  <w:color w:val="0000FF"/>
                  <w:sz w:val="20"/>
                  <w:u w:val="single"/>
                </w:rPr>
                <w:t>Mine Safety Disclosures</w:t>
              </w:r>
            </w:hyperlink>
          </w:p>
        </w:tc>
        <w:tc>
          <w:tcPr>
            <w:tcW w:w="738" w:type="dxa"/>
            <w:gridSpan w:val="3"/>
            <w:tcBorders/>
            <w:tcMar>
              <w:top w:w="0" w:type="dxa"/>
              <w:left w:w="0" w:type="dxa"/>
              <w:bottom w:w="0" w:type="dxa"/>
              <w:right w:w="0" w:type="dxa"/>
            </w:tcMar>
            <w:vAlign w:val="center"/>
          </w:tcPr>
          <w:p>
            <w:pPr>
              <w:pStyle w:val="TableContents"/>
              <w:bidi w:val="0"/>
              <w:spacing w:lineRule="auto" w:line="240" w:before="53" w:after="30"/>
              <w:jc w:val="right"/>
              <w:rPr/>
            </w:pPr>
            <w:hyperlink w:anchor="i1643453db6654ca39ea0a46a8e0a40e2_124">
              <w:r>
                <w:rPr>
                  <w:rStyle w:val="InternetLink"/>
                  <w:rFonts w:ascii="Times New Roman;serif" w:hAnsi="Times New Roman;serif"/>
                  <w:b w:val="false"/>
                  <w:color w:val="0000FF"/>
                  <w:sz w:val="20"/>
                  <w:u w:val="single"/>
                </w:rPr>
                <w:t>40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656" w:type="dxa"/>
            <w:gridSpan w:val="3"/>
            <w:tcBorders/>
            <w:tcMar>
              <w:top w:w="0" w:type="dxa"/>
              <w:left w:w="0" w:type="dxa"/>
              <w:bottom w:w="0" w:type="dxa"/>
              <w:right w:w="0" w:type="dxa"/>
            </w:tcMar>
            <w:vAlign w:val="center"/>
          </w:tcPr>
          <w:p>
            <w:pPr>
              <w:pStyle w:val="TableContents"/>
              <w:bidi w:val="0"/>
              <w:spacing w:lineRule="auto" w:line="240" w:before="53" w:after="30"/>
              <w:jc w:val="left"/>
              <w:rPr/>
            </w:pPr>
            <w:hyperlink w:anchor="i1643453db6654ca39ea0a46a8e0a40e2_127">
              <w:r>
                <w:rPr>
                  <w:rStyle w:val="InternetLink"/>
                  <w:rFonts w:ascii="Times New Roman;serif" w:hAnsi="Times New Roman;serif"/>
                  <w:b w:val="false"/>
                  <w:color w:val="0000FF"/>
                  <w:sz w:val="20"/>
                  <w:u w:val="single"/>
                </w:rPr>
                <w:t>Other Information</w:t>
              </w:r>
            </w:hyperlink>
          </w:p>
        </w:tc>
        <w:tc>
          <w:tcPr>
            <w:tcW w:w="738" w:type="dxa"/>
            <w:gridSpan w:val="3"/>
            <w:tcBorders/>
            <w:tcMar>
              <w:top w:w="0" w:type="dxa"/>
              <w:left w:w="0" w:type="dxa"/>
              <w:bottom w:w="0" w:type="dxa"/>
              <w:right w:w="0" w:type="dxa"/>
            </w:tcMar>
            <w:vAlign w:val="center"/>
          </w:tcPr>
          <w:p>
            <w:pPr>
              <w:pStyle w:val="TableContents"/>
              <w:bidi w:val="0"/>
              <w:spacing w:lineRule="auto" w:line="240" w:before="53" w:after="30"/>
              <w:jc w:val="right"/>
              <w:rPr/>
            </w:pPr>
            <w:hyperlink w:anchor="i1643453db6654ca39ea0a46a8e0a40e2_127">
              <w:r>
                <w:rPr>
                  <w:rStyle w:val="InternetLink"/>
                  <w:rFonts w:ascii="Times New Roman;serif" w:hAnsi="Times New Roman;serif"/>
                  <w:b w:val="false"/>
                  <w:color w:val="0000FF"/>
                  <w:sz w:val="20"/>
                  <w:u w:val="single"/>
                </w:rPr>
                <w:t>41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656" w:type="dxa"/>
            <w:gridSpan w:val="3"/>
            <w:tcBorders/>
            <w:tcMar>
              <w:top w:w="0" w:type="dxa"/>
              <w:left w:w="0" w:type="dxa"/>
              <w:bottom w:w="0" w:type="dxa"/>
              <w:right w:w="0" w:type="dxa"/>
            </w:tcMar>
            <w:vAlign w:val="center"/>
          </w:tcPr>
          <w:p>
            <w:pPr>
              <w:pStyle w:val="TableContents"/>
              <w:bidi w:val="0"/>
              <w:spacing w:lineRule="auto" w:line="240" w:before="53" w:after="30"/>
              <w:jc w:val="left"/>
              <w:rPr/>
            </w:pPr>
            <w:hyperlink w:anchor="i1643453db6654ca39ea0a46a8e0a40e2_130">
              <w:r>
                <w:rPr>
                  <w:rStyle w:val="InternetLink"/>
                  <w:rFonts w:ascii="Times New Roman;serif" w:hAnsi="Times New Roman;serif"/>
                  <w:b w:val="false"/>
                  <w:color w:val="0000FF"/>
                  <w:sz w:val="20"/>
                  <w:u w:val="single"/>
                </w:rPr>
                <w:t>Exhibits</w:t>
              </w:r>
            </w:hyperlink>
          </w:p>
        </w:tc>
        <w:tc>
          <w:tcPr>
            <w:tcW w:w="738" w:type="dxa"/>
            <w:gridSpan w:val="3"/>
            <w:tcBorders/>
            <w:tcMar>
              <w:top w:w="0" w:type="dxa"/>
              <w:left w:w="0" w:type="dxa"/>
              <w:bottom w:w="0" w:type="dxa"/>
              <w:right w:w="0" w:type="dxa"/>
            </w:tcMar>
            <w:vAlign w:val="center"/>
          </w:tcPr>
          <w:p>
            <w:pPr>
              <w:pStyle w:val="TableContents"/>
              <w:bidi w:val="0"/>
              <w:spacing w:lineRule="auto" w:line="240" w:before="53" w:after="30"/>
              <w:jc w:val="right"/>
              <w:rPr/>
            </w:pPr>
            <w:hyperlink w:anchor="i1643453db6654ca39ea0a46a8e0a40e2_130">
              <w:r>
                <w:rPr>
                  <w:rStyle w:val="InternetLink"/>
                  <w:rFonts w:ascii="Times New Roman;serif" w:hAnsi="Times New Roman;serif"/>
                  <w:b w:val="false"/>
                  <w:color w:val="0000FF"/>
                  <w:sz w:val="20"/>
                  <w:u w:val="single"/>
                </w:rPr>
                <w:t>42</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333" w:before="0" w:after="0"/>
        <w:jc w:val="left"/>
        <w:rPr/>
      </w:pPr>
      <w:hyperlink w:anchor="i1643453db6654ca39ea0a46a8e0a40e2_4">
        <w:r>
          <w:rPr>
            <w:rStyle w:val="InternetLink"/>
            <w:rFonts w:ascii="Times New Roman;serif" w:hAnsi="Times New Roman;serif"/>
            <w:b w:val="false"/>
            <w:color w:val="0000FF"/>
            <w:sz w:val="20"/>
            <w:u w:val="single"/>
          </w:rPr>
          <w:t>Table of Contents</w:t>
        </w:r>
      </w:hyperlink>
    </w:p>
    <w:p>
      <w:pPr>
        <w:pStyle w:val="TextBody"/>
        <w:bidi w:val="0"/>
        <w:spacing w:lineRule="auto" w:line="312"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ind w:left="0" w:right="0" w:firstLine="720"/>
        <w:jc w:val="both"/>
        <w:rPr/>
      </w:pPr>
      <w:r>
        <w:rPr/>
      </w:r>
    </w:p>
    <w:p>
      <w:pPr>
        <w:pStyle w:val="TextBody"/>
        <w:bidi w:val="0"/>
        <w:spacing w:lineRule="auto" w:line="312"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of the statements in this Form 10-Q, particularly those anticipating future performance, business prospects, growth and operating strategies, and similar matters, and those that include the words “could,” “should,” “believes,” “anticipates,” “expects” and “estimates” or similar expressions constitute “forward-looking statements” within the meaning of Section 27A of the Securities Act of 1933, as amended, and Section 21E of the Securities Exchange Act of 1934, as amended. For those statements, Mohawk Industries, Inc. (“Mohawk” or the “Company”) claims the protection of the safe harbor for forward-looking statements contained in the Private Securities Litigation Reform Act of 1995. Management believes that these forward-looking statements are reasonable as and when made; however, caution should be taken not to place undue reliance on any such forward-looking statements because such statements speak only as of the date when made. The Company undertakes no obligation to publicly update or revise any forward-looking statements, whether as a result of new information, future events or otherwise, except as required by law. There can be no assurance that the forward-looking statements will be accurate because they are based on many assumptions, which involve risks and uncertainties. Important factors that could cause future results to differ from historical experience and our present expectations or projections include, but are not limited to, the following: changes in economic or industry conditions; the impact of tariffs; competition; inflation and deflation in raw material prices, freight and other input costs; inflation and deflation in consumer markets; currency fluctuations; rising energy costs and changes in the level of supply thereof; timing and level of capital expenditures; timing and implementation of price increases for the Company’s products; impairment charges; identification and consummation of acquisitions on favorable terms, if at all; integration of acquisitions; international operations; introduction of new products; rationalization of operations; tax and tax reform, product and other claims; litigation; geopolitical conflicts; regulatory and political changes in the jurisdictions in which the Company does business; and other risks identified in Mohawk’s United States Securities and Exchange Commission reports and public announcements.</w:t>
      </w:r>
    </w:p>
    <w:p>
      <w:pPr>
        <w:pStyle w:val="TextBody"/>
        <w:bidi w:val="0"/>
        <w:spacing w:before="0" w:after="0"/>
        <w:ind w:left="0" w:right="0" w:firstLine="720"/>
        <w:jc w:val="both"/>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333" w:before="0" w:after="0"/>
        <w:jc w:val="left"/>
        <w:rPr/>
      </w:pPr>
      <w:hyperlink w:anchor="i1643453db6654ca39ea0a46a8e0a40e2_4">
        <w:r>
          <w:rPr>
            <w:rStyle w:val="InternetLink"/>
            <w:rFonts w:ascii="Times New Roman;serif" w:hAnsi="Times New Roman;serif"/>
            <w:b w:val="false"/>
            <w:color w:val="0000FF"/>
            <w:sz w:val="20"/>
            <w:u w:val="single"/>
          </w:rPr>
          <w:t>Table of Contents</w:t>
        </w:r>
      </w:hyperlink>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MOHAWK INDUSTRIES, INC. AND SUBSIDIARIES</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333" w:before="0" w:after="10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800"/>
        <w:gridCol w:w="1491"/>
        <w:gridCol w:w="1504"/>
        <w:gridCol w:w="196"/>
        <w:gridCol w:w="706"/>
        <w:gridCol w:w="109"/>
        <w:gridCol w:w="109"/>
        <w:gridCol w:w="109"/>
        <w:gridCol w:w="109"/>
        <w:gridCol w:w="364"/>
        <w:gridCol w:w="359"/>
        <w:gridCol w:w="338"/>
        <w:gridCol w:w="109"/>
        <w:gridCol w:w="109"/>
        <w:gridCol w:w="109"/>
        <w:gridCol w:w="353"/>
        <w:gridCol w:w="353"/>
        <w:gridCol w:w="322"/>
        <w:gridCol w:w="327"/>
        <w:gridCol w:w="109"/>
        <w:gridCol w:w="364"/>
        <w:gridCol w:w="359"/>
        <w:gridCol w:w="338"/>
        <w:gridCol w:w="159"/>
      </w:tblGrid>
      <w:tr>
        <w:trPr/>
        <w:tc>
          <w:tcPr>
            <w:tcW w:w="1800"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220" w:type="dxa"/>
            <w:gridSpan w:val="4"/>
            <w:tcBorders/>
          </w:tcPr>
          <w:p>
            <w:pPr>
              <w:pStyle w:val="TableContents"/>
              <w:bidi w:val="0"/>
              <w:spacing w:before="0" w:after="283"/>
              <w:jc w:val="left"/>
              <w:rPr>
                <w:sz w:val="4"/>
                <w:szCs w:val="4"/>
              </w:rPr>
            </w:pPr>
            <w:r>
              <w:rPr>
                <w:sz w:val="4"/>
                <w:szCs w:val="4"/>
              </w:rPr>
            </w:r>
          </w:p>
        </w:tc>
      </w:tr>
      <w:tr>
        <w:trPr/>
        <w:tc>
          <w:tcPr>
            <w:tcW w:w="4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per share data)</w:t>
            </w:r>
          </w:p>
        </w:tc>
        <w:tc>
          <w:tcPr>
            <w:tcW w:w="10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July 4,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July 4, 2026</w:t>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June 28, 2025</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sales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2,991.4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2,802.1 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5,720.1</w:t>
            </w:r>
            <w:r>
              <w:rPr>
                <w:color w:val="000000"/>
              </w:rPr>
              <w:t>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5,327.9 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2,196.3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2,087.7 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4,283.1</w:t>
            </w: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4,030.2 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90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795.1</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714.4 </w:t>
            </w:r>
          </w:p>
        </w:tc>
        <w:tc>
          <w:tcPr>
            <w:tcW w:w="3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1,437.0</w:t>
            </w:r>
            <w:r>
              <w:rPr>
                <w:color w:val="000000"/>
              </w:rPr>
              <w:t> </w:t>
            </w:r>
          </w:p>
        </w:tc>
        <w:tc>
          <w:tcPr>
            <w:tcW w:w="3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1,297.7 </w:t>
            </w:r>
          </w:p>
        </w:tc>
        <w:tc>
          <w:tcPr>
            <w:tcW w:w="3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525.7 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1,071.5</w:t>
            </w: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1,012.9 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90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253.7</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188.7 </w:t>
            </w:r>
          </w:p>
        </w:tc>
        <w:tc>
          <w:tcPr>
            <w:tcW w:w="3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365.5</w:t>
            </w:r>
            <w:r>
              <w:rPr>
                <w:color w:val="000000"/>
              </w:rPr>
              <w:t> </w:t>
            </w:r>
          </w:p>
        </w:tc>
        <w:tc>
          <w:tcPr>
            <w:tcW w:w="3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284.8 </w:t>
            </w:r>
          </w:p>
        </w:tc>
        <w:tc>
          <w:tcPr>
            <w:tcW w:w="3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7.1</w:t>
            </w: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and expense,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w:t>
            </w: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 before income taxes</w:t>
            </w:r>
          </w:p>
        </w:tc>
        <w:tc>
          <w:tcPr>
            <w:tcW w:w="90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248.5</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180.5 </w:t>
            </w:r>
          </w:p>
        </w:tc>
        <w:tc>
          <w:tcPr>
            <w:tcW w:w="33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356.7</w:t>
            </w:r>
            <w:r>
              <w:rPr>
                <w:color w:val="000000"/>
              </w:rPr>
              <w:t> </w:t>
            </w:r>
          </w:p>
        </w:tc>
        <w:tc>
          <w:tcPr>
            <w:tcW w:w="3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270.5 </w:t>
            </w:r>
          </w:p>
        </w:tc>
        <w:tc>
          <w:tcPr>
            <w:tcW w:w="33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43.4</w:t>
            </w: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earnings including noncontrolling interests</w:t>
            </w:r>
          </w:p>
        </w:tc>
        <w:tc>
          <w:tcPr>
            <w:tcW w:w="90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196.2</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146.5 </w:t>
            </w:r>
          </w:p>
        </w:tc>
        <w:tc>
          <w:tcPr>
            <w:tcW w:w="33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313.3</w:t>
            </w:r>
            <w:r>
              <w:rPr>
                <w:color w:val="000000"/>
              </w:rPr>
              <w:t> </w:t>
            </w:r>
          </w:p>
        </w:tc>
        <w:tc>
          <w:tcPr>
            <w:tcW w:w="3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219.0 </w:t>
            </w:r>
          </w:p>
        </w:tc>
        <w:tc>
          <w:tcPr>
            <w:tcW w:w="33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earnings attributable to noncontrolling interests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0.1</w:t>
            </w: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earnings attributable to Mohawk Industries, Inc.</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196.1</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146.5 </w:t>
            </w:r>
          </w:p>
        </w:tc>
        <w:tc>
          <w:tcPr>
            <w:tcW w:w="33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313.2</w:t>
            </w:r>
            <w:r>
              <w:rPr>
                <w:color w:val="000000"/>
              </w:rPr>
              <w:t> </w:t>
            </w:r>
          </w:p>
        </w:tc>
        <w:tc>
          <w:tcPr>
            <w:tcW w:w="3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219.0 </w:t>
            </w:r>
          </w:p>
        </w:tc>
        <w:tc>
          <w:tcPr>
            <w:tcW w:w="33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 earnings per share attributable to Mohawk Industries, Inc.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5.13</w:t>
            </w: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Weighted-average common shares outstanding—basic</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61.0</w:t>
            </w:r>
            <w:r>
              <w:rPr>
                <w:color w:val="000000"/>
              </w:rPr>
              <w:t>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 earnings per share attributable to Mohawk Industries, Inc.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5.11</w:t>
            </w: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Weighted-average common shares outstanding—diluted</w:t>
            </w:r>
          </w:p>
        </w:tc>
        <w:tc>
          <w:tcPr>
            <w:tcW w:w="90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60.9</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62.6 </w:t>
            </w:r>
          </w:p>
        </w:tc>
        <w:tc>
          <w:tcPr>
            <w:tcW w:w="3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61.3</w:t>
            </w:r>
            <w:r>
              <w:rPr>
                <w:color w:val="000000"/>
              </w:rPr>
              <w:t> </w:t>
            </w:r>
          </w:p>
        </w:tc>
        <w:tc>
          <w:tcPr>
            <w:tcW w:w="3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62.7 </w:t>
            </w:r>
          </w:p>
        </w:tc>
        <w:tc>
          <w:tcPr>
            <w:tcW w:w="3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333" w:before="0" w:after="0"/>
        <w:jc w:val="left"/>
        <w:rPr/>
      </w:pPr>
      <w:hyperlink w:anchor="i1643453db6654ca39ea0a46a8e0a40e2_4">
        <w:r>
          <w:rPr>
            <w:rStyle w:val="InternetLink"/>
            <w:rFonts w:ascii="Times New Roman;serif" w:hAnsi="Times New Roman;serif"/>
            <w:b w:val="false"/>
            <w:color w:val="0000FF"/>
            <w:sz w:val="20"/>
            <w:u w:val="single"/>
          </w:rPr>
          <w:t>Table of Contents</w:t>
        </w:r>
      </w:hyperlink>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MOHAWK INDUSTRIES, INC. AND SUBSIDIARIES</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333" w:before="0" w:after="10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824"/>
        <w:gridCol w:w="1597"/>
        <w:gridCol w:w="1609"/>
        <w:gridCol w:w="304"/>
        <w:gridCol w:w="888"/>
        <w:gridCol w:w="169"/>
        <w:gridCol w:w="169"/>
        <w:gridCol w:w="364"/>
        <w:gridCol w:w="351"/>
        <w:gridCol w:w="350"/>
        <w:gridCol w:w="333"/>
        <w:gridCol w:w="347"/>
        <w:gridCol w:w="338"/>
        <w:gridCol w:w="338"/>
        <w:gridCol w:w="109"/>
        <w:gridCol w:w="332"/>
        <w:gridCol w:w="324"/>
        <w:gridCol w:w="459"/>
      </w:tblGrid>
      <w:tr>
        <w:trPr/>
        <w:tc>
          <w:tcPr>
            <w:tcW w:w="1824"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1356"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r>
          </w:p>
        </w:tc>
        <w:tc>
          <w:tcPr>
            <w:tcW w:w="1224" w:type="dxa"/>
            <w:gridSpan w:val="4"/>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3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July 4, 2026</w:t>
            </w:r>
          </w:p>
        </w:tc>
        <w:tc>
          <w:tcPr>
            <w:tcW w:w="169" w:type="dxa"/>
            <w:tcBorders/>
            <w:vAlign w:val="center"/>
          </w:tcPr>
          <w:p>
            <w:pPr>
              <w:pStyle w:val="TableContents"/>
              <w:bidi w:val="0"/>
              <w:spacing w:before="0" w:after="283"/>
              <w:jc w:val="left"/>
              <w:rPr>
                <w:sz w:val="4"/>
                <w:szCs w:val="4"/>
              </w:rPr>
            </w:pPr>
            <w:r>
              <w:rPr>
                <w:sz w:val="4"/>
                <w:szCs w:val="4"/>
              </w:rPr>
            </w:r>
          </w:p>
        </w:tc>
        <w:tc>
          <w:tcPr>
            <w:tcW w:w="10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June 28, 2025</w:t>
            </w:r>
          </w:p>
        </w:tc>
        <w:tc>
          <w:tcPr>
            <w:tcW w:w="333" w:type="dxa"/>
            <w:tcBorders/>
            <w:vAlign w:val="center"/>
          </w:tcPr>
          <w:p>
            <w:pPr>
              <w:pStyle w:val="TableContents"/>
              <w:bidi w:val="0"/>
              <w:spacing w:before="0" w:after="283"/>
              <w:jc w:val="left"/>
              <w:rPr>
                <w:sz w:val="4"/>
                <w:szCs w:val="4"/>
              </w:rPr>
            </w:pPr>
            <w:r>
              <w:rPr>
                <w:sz w:val="4"/>
                <w:szCs w:val="4"/>
              </w:rPr>
            </w:r>
          </w:p>
        </w:tc>
        <w:tc>
          <w:tcPr>
            <w:tcW w:w="102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July 4, 2026</w:t>
            </w:r>
          </w:p>
        </w:tc>
        <w:tc>
          <w:tcPr>
            <w:tcW w:w="109" w:type="dxa"/>
            <w:tcBorders/>
            <w:vAlign w:val="center"/>
          </w:tcPr>
          <w:p>
            <w:pPr>
              <w:pStyle w:val="TableContents"/>
              <w:bidi w:val="0"/>
              <w:spacing w:before="0" w:after="283"/>
              <w:jc w:val="left"/>
              <w:rPr>
                <w:sz w:val="4"/>
                <w:szCs w:val="4"/>
              </w:rPr>
            </w:pPr>
            <w:r>
              <w:rPr>
                <w:sz w:val="4"/>
                <w:szCs w:val="4"/>
              </w:rPr>
            </w:r>
          </w:p>
        </w:tc>
        <w:tc>
          <w:tcPr>
            <w:tcW w:w="11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June 28, 2025</w:t>
            </w:r>
          </w:p>
        </w:tc>
      </w:tr>
      <w:tr>
        <w:trPr/>
        <w:tc>
          <w:tcPr>
            <w:tcW w:w="503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earnings including noncontrolling interests</w:t>
            </w:r>
          </w:p>
        </w:tc>
        <w:tc>
          <w:tcPr>
            <w:tcW w:w="3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196.2</w:t>
            </w:r>
            <w:r>
              <w:rPr>
                <w:color w:val="000000"/>
              </w:rPr>
              <w:t> </w:t>
            </w:r>
          </w:p>
        </w:tc>
        <w:tc>
          <w:tcPr>
            <w:tcW w:w="16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71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146.5 </w:t>
            </w:r>
          </w:p>
        </w:tc>
        <w:tc>
          <w:tcPr>
            <w:tcW w:w="35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8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313.3</w:t>
            </w:r>
            <w:r>
              <w:rPr>
                <w:color w:val="000000"/>
              </w:rPr>
              <w:t> </w:t>
            </w:r>
          </w:p>
        </w:tc>
        <w:tc>
          <w:tcPr>
            <w:tcW w:w="3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219.0 </w:t>
            </w:r>
          </w:p>
        </w:tc>
        <w:tc>
          <w:tcPr>
            <w:tcW w:w="45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22.0</w:t>
            </w: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325.5 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(30.7)</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580.9 </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0"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503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119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22.0</w:t>
            </w:r>
            <w:r>
              <w:rPr>
                <w:color w:val="000000"/>
              </w:rPr>
              <w:t> </w:t>
            </w:r>
          </w:p>
        </w:tc>
        <w:tc>
          <w:tcPr>
            <w:tcW w:w="16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71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325.5 </w:t>
            </w:r>
          </w:p>
        </w:tc>
        <w:tc>
          <w:tcPr>
            <w:tcW w:w="35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8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(30.7)</w:t>
            </w:r>
          </w:p>
        </w:tc>
        <w:tc>
          <w:tcPr>
            <w:tcW w:w="33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580.9 </w:t>
            </w:r>
          </w:p>
        </w:tc>
        <w:tc>
          <w:tcPr>
            <w:tcW w:w="45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income</w:t>
            </w:r>
          </w:p>
        </w:tc>
        <w:tc>
          <w:tcPr>
            <w:tcW w:w="119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218.2</w:t>
            </w:r>
            <w:r>
              <w:rPr>
                <w:color w:val="000000"/>
              </w:rPr>
              <w:t> </w:t>
            </w:r>
          </w:p>
        </w:tc>
        <w:tc>
          <w:tcPr>
            <w:tcW w:w="16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71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472.0 </w:t>
            </w:r>
          </w:p>
        </w:tc>
        <w:tc>
          <w:tcPr>
            <w:tcW w:w="35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8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282.6</w:t>
            </w:r>
            <w:r>
              <w:rPr>
                <w:color w:val="000000"/>
              </w:rPr>
              <w:t> </w:t>
            </w:r>
          </w:p>
        </w:tc>
        <w:tc>
          <w:tcPr>
            <w:tcW w:w="3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799.9 </w:t>
            </w:r>
          </w:p>
        </w:tc>
        <w:tc>
          <w:tcPr>
            <w:tcW w:w="45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comprehensive income (loss) attributable to noncontrolling interests</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0"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income attributable to Mohawk Industries, Inc.</w:t>
            </w:r>
          </w:p>
        </w:tc>
        <w:tc>
          <w:tcPr>
            <w:tcW w:w="304"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8"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218.2</w:t>
            </w:r>
            <w:r>
              <w:rPr>
                <w:color w:val="000000"/>
              </w:rPr>
              <w:t> </w:t>
            </w:r>
          </w:p>
        </w:tc>
        <w:tc>
          <w:tcPr>
            <w:tcW w:w="16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715" w:type="dxa"/>
            <w:gridSpan w:val="2"/>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471.7 </w:t>
            </w:r>
          </w:p>
        </w:tc>
        <w:tc>
          <w:tcPr>
            <w:tcW w:w="350"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85" w:type="dxa"/>
            <w:gridSpan w:val="2"/>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283.9</w:t>
            </w:r>
            <w:r>
              <w:rPr>
                <w:color w:val="000000"/>
              </w:rPr>
              <w:t> </w:t>
            </w:r>
          </w:p>
        </w:tc>
        <w:tc>
          <w:tcPr>
            <w:tcW w:w="338"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gridSpan w:val="2"/>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799.3 </w:t>
            </w:r>
          </w:p>
        </w:tc>
        <w:tc>
          <w:tcPr>
            <w:tcW w:w="45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333" w:before="0" w:after="0"/>
        <w:jc w:val="left"/>
        <w:rPr/>
      </w:pPr>
      <w:hyperlink w:anchor="i1643453db6654ca39ea0a46a8e0a40e2_4">
        <w:r>
          <w:rPr>
            <w:rStyle w:val="InternetLink"/>
            <w:rFonts w:ascii="Times New Roman;serif" w:hAnsi="Times New Roman;serif"/>
            <w:b w:val="false"/>
            <w:color w:val="0000FF"/>
            <w:sz w:val="20"/>
            <w:u w:val="single"/>
          </w:rPr>
          <w:t>Table of Contents</w:t>
        </w:r>
      </w:hyperlink>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MOHAWK INDUSTRIES, INC. AND SUBSIDIARIES</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333" w:before="0" w:after="100"/>
        <w:jc w:val="center"/>
        <w:rPr>
          <w:rFonts w:ascii="Times New Roman;serif" w:hAnsi="Times New Roman;serif"/>
          <w:b/>
          <w:color w:val="000000"/>
          <w:sz w:val="20"/>
        </w:rPr>
      </w:pPr>
      <w:r>
        <w:rPr>
          <w:rFonts w:ascii="Times New Roman;serif" w:hAnsi="Times New Roman;serif"/>
          <w:b/>
          <w:color w:val="000000"/>
          <w:sz w:val="20"/>
        </w:rPr>
        <w:t>(Unaudited) </w:t>
      </w:r>
    </w:p>
    <w:tbl>
      <w:tblPr>
        <w:tblW w:w="10205" w:type="dxa"/>
        <w:jc w:val="left"/>
        <w:tblInd w:w="0" w:type="dxa"/>
        <w:tblLayout w:type="fixed"/>
        <w:tblCellMar>
          <w:top w:w="28" w:type="dxa"/>
          <w:left w:w="28" w:type="dxa"/>
          <w:bottom w:w="28" w:type="dxa"/>
          <w:right w:w="28" w:type="dxa"/>
        </w:tblCellMar>
      </w:tblPr>
      <w:tblGrid>
        <w:gridCol w:w="2704"/>
        <w:gridCol w:w="2240"/>
        <w:gridCol w:w="2250"/>
        <w:gridCol w:w="211"/>
        <w:gridCol w:w="886"/>
        <w:gridCol w:w="109"/>
        <w:gridCol w:w="109"/>
        <w:gridCol w:w="109"/>
        <w:gridCol w:w="109"/>
        <w:gridCol w:w="447"/>
        <w:gridCol w:w="443"/>
        <w:gridCol w:w="588"/>
      </w:tblGrid>
      <w:tr>
        <w:trPr/>
        <w:tc>
          <w:tcPr>
            <w:tcW w:w="2704"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r>
      <w:tr>
        <w:trPr/>
        <w:tc>
          <w:tcPr>
            <w:tcW w:w="7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par value and preferred stock shares)</w:t>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July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December 31, 2025</w:t>
            </w:r>
          </w:p>
        </w:tc>
      </w:tr>
      <w:tr>
        <w:trPr/>
        <w:tc>
          <w:tcPr>
            <w:tcW w:w="719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20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856.1 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net</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2,284.3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1,924.1 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2,661.7 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512.2 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10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6,273.9</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5,967.1 </w:t>
            </w:r>
          </w:p>
        </w:tc>
        <w:tc>
          <w:tcPr>
            <w:tcW w:w="58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at cost</w:t>
            </w:r>
          </w:p>
        </w:tc>
        <w:tc>
          <w:tcPr>
            <w:tcW w:w="10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11,036.3</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11,032.0 </w:t>
            </w:r>
          </w:p>
        </w:tc>
        <w:tc>
          <w:tcPr>
            <w:tcW w:w="58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 and amortization</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6,432.7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6,260.0 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0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4,603.6</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4,772.0 </w:t>
            </w:r>
          </w:p>
        </w:tc>
        <w:tc>
          <w:tcPr>
            <w:tcW w:w="58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 of use operating lease assets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1,210.3 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Tradenames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695.8 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 subject to amortization, net</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 and other non-current assets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516.0 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13,823.2</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13,687.3 </w:t>
            </w:r>
          </w:p>
        </w:tc>
        <w:tc>
          <w:tcPr>
            <w:tcW w:w="58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debt and current portion of long-term 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289.3 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2,393.9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2,310.4 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operating lease liabilities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3,275.3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2,722.1 </w:t>
            </w:r>
          </w:p>
        </w:tc>
        <w:tc>
          <w:tcPr>
            <w:tcW w:w="5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less current portion</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1,741.2 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operating lease liabilities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5,278.5</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5,308.6 </w:t>
            </w:r>
          </w:p>
        </w:tc>
        <w:tc>
          <w:tcPr>
            <w:tcW w:w="58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15)</w:t>
            </w:r>
          </w:p>
        </w:tc>
        <w:tc>
          <w:tcPr>
            <w:tcW w:w="120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$.01 par value; 60,000 shares authorized; no shares issued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$.01 par value; 150.0 shares authorized; 67.8 and 68.8 shares issued in 2026 and 2025, respectively</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1,992.6 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7,691.7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7,503.1 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(907.9)</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8,755.7</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8,588.5 </w:t>
            </w:r>
          </w:p>
        </w:tc>
        <w:tc>
          <w:tcPr>
            <w:tcW w:w="58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treasury stock at cost; 7.3 shares in 2026 and 2025</w:t>
            </w:r>
          </w:p>
        </w:tc>
        <w:tc>
          <w:tcPr>
            <w:tcW w:w="10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215.0</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215.2 </w:t>
            </w:r>
          </w:p>
        </w:tc>
        <w:tc>
          <w:tcPr>
            <w:tcW w:w="58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Mohawk Industries, Inc. stockholders' equity</w:t>
            </w:r>
          </w:p>
        </w:tc>
        <w:tc>
          <w:tcPr>
            <w:tcW w:w="10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8,540.7</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8,373.3 </w:t>
            </w:r>
          </w:p>
        </w:tc>
        <w:tc>
          <w:tcPr>
            <w:tcW w:w="58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10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8,544.7</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8,378.7 </w:t>
            </w:r>
          </w:p>
        </w:tc>
        <w:tc>
          <w:tcPr>
            <w:tcW w:w="58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4"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21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13,823.2</w:t>
            </w:r>
            <w:r>
              <w:rPr>
                <w:color w:val="000000"/>
              </w:rPr>
              <w:t>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13,687.3 </w:t>
            </w:r>
          </w:p>
        </w:tc>
        <w:tc>
          <w:tcPr>
            <w:tcW w:w="588"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23" w:before="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333" w:before="0" w:after="0"/>
        <w:jc w:val="left"/>
        <w:rPr/>
      </w:pPr>
      <w:hyperlink w:anchor="i1643453db6654ca39ea0a46a8e0a40e2_4">
        <w:r>
          <w:rPr>
            <w:rStyle w:val="InternetLink"/>
            <w:rFonts w:ascii="Times New Roman;serif" w:hAnsi="Times New Roman;serif"/>
            <w:b w:val="false"/>
            <w:color w:val="0000FF"/>
            <w:sz w:val="20"/>
            <w:u w:val="single"/>
          </w:rPr>
          <w:t>Table of Contents</w:t>
        </w:r>
      </w:hyperlink>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MOHAWK INDUSTRIES, INC. AND SUBSIDIARIES</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333" w:before="0" w:after="0"/>
        <w:jc w:val="center"/>
        <w:rPr/>
      </w:pPr>
      <w:r>
        <w:rPr>
          <w:rFonts w:ascii="Times New Roman;serif" w:hAnsi="Times New Roman;serif"/>
          <w:b/>
          <w:color w:val="000000"/>
          <w:sz w:val="20"/>
        </w:rPr>
        <w:t>(Unaudited)</w:t>
      </w:r>
      <w:r>
        <w:rPr>
          <w:color w:val="000000"/>
        </w:rPr>
        <w:t> </w:t>
      </w:r>
    </w:p>
    <w:tbl>
      <w:tblPr>
        <w:tblW w:w="8514" w:type="dxa"/>
        <w:jc w:val="left"/>
        <w:tblInd w:w="0" w:type="dxa"/>
        <w:tblLayout w:type="fixed"/>
        <w:tblCellMar>
          <w:top w:w="28" w:type="dxa"/>
          <w:left w:w="28" w:type="dxa"/>
          <w:bottom w:w="28" w:type="dxa"/>
          <w:right w:w="28" w:type="dxa"/>
        </w:tblCellMar>
      </w:tblPr>
      <w:tblGrid>
        <w:gridCol w:w="2133"/>
        <w:gridCol w:w="1871"/>
        <w:gridCol w:w="1876"/>
        <w:gridCol w:w="277"/>
        <w:gridCol w:w="809"/>
        <w:gridCol w:w="154"/>
        <w:gridCol w:w="154"/>
        <w:gridCol w:w="423"/>
        <w:gridCol w:w="342"/>
        <w:gridCol w:w="475"/>
      </w:tblGrid>
      <w:tr>
        <w:trPr/>
        <w:tc>
          <w:tcPr>
            <w:tcW w:w="2133"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r>
          </w:p>
        </w:tc>
        <w:tc>
          <w:tcPr>
            <w:tcW w:w="1240" w:type="dxa"/>
            <w:gridSpan w:val="3"/>
            <w:tcBorders/>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2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2026</w:t>
            </w:r>
          </w:p>
        </w:tc>
        <w:tc>
          <w:tcPr>
            <w:tcW w:w="154" w:type="dxa"/>
            <w:tcBorders/>
            <w:vAlign w:val="center"/>
          </w:tcPr>
          <w:p>
            <w:pPr>
              <w:pStyle w:val="TableContents"/>
              <w:bidi w:val="0"/>
              <w:spacing w:before="0" w:after="283"/>
              <w:jc w:val="left"/>
              <w:rPr>
                <w:sz w:val="4"/>
                <w:szCs w:val="4"/>
              </w:rPr>
            </w:pPr>
            <w:r>
              <w:rPr>
                <w:sz w:val="4"/>
                <w:szCs w:val="4"/>
              </w:rPr>
            </w:r>
          </w:p>
        </w:tc>
        <w:tc>
          <w:tcPr>
            <w:tcW w:w="12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28, 2025</w:t>
            </w:r>
          </w:p>
        </w:tc>
      </w:tr>
      <w:tr>
        <w:trPr/>
        <w:tc>
          <w:tcPr>
            <w:tcW w:w="58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24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4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including noncontrolling interests</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313.3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219.0 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earnings to net cash provided by operating activities:</w:t>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excluding accelerated depreciation</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341.1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306.0 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disposal of property, plant and equipment</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 net of effects of acquisitions:</w:t>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net</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(366.3)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(316.5)</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63.5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171.0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and prepaid expenses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payable</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10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426.6</w:t>
            </w:r>
            <w:r>
              <w:rPr>
                <w:color w:val="000000"/>
              </w:rPr>
              <w:t>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6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210.0 </w:t>
            </w:r>
          </w:p>
        </w:tc>
        <w:tc>
          <w:tcPr>
            <w:tcW w:w="47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24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4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property, plant and equipment</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(169.3)</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Divestitures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10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(187.3)</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6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(169.3)</w:t>
            </w:r>
          </w:p>
        </w:tc>
        <w:tc>
          <w:tcPr>
            <w:tcW w:w="47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24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4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Senior Credit Facility</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(234.8)</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Senior Credit Facility</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195.8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260.7 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commercial paper</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(6,794.6)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(6,274.3)</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commercial paper</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6,695.7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6,129.8 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payments of other financing activities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Mohawk common stock</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redeemed for taxes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outstanding checks in excess of cash</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10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(247.9)</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6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(205.1)</w:t>
            </w:r>
          </w:p>
        </w:tc>
        <w:tc>
          <w:tcPr>
            <w:tcW w:w="47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Effect of exchange rate changes on cash and cash equivalents</w:t>
            </w:r>
          </w:p>
        </w:tc>
        <w:tc>
          <w:tcPr>
            <w:tcW w:w="10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w:t>
            </w:r>
            <w:r>
              <w:rPr>
                <w:color w:val="000000"/>
              </w:rPr>
              <w:t>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6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47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and cash equivalents</w:t>
            </w:r>
          </w:p>
        </w:tc>
        <w:tc>
          <w:tcPr>
            <w:tcW w:w="10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(6.5)</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6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w:t>
            </w:r>
          </w:p>
        </w:tc>
        <w:tc>
          <w:tcPr>
            <w:tcW w:w="47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beginning of period</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856.1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666.6 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end of period</w:t>
            </w:r>
          </w:p>
        </w:tc>
        <w:tc>
          <w:tcPr>
            <w:tcW w:w="277"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849.6</w:t>
            </w:r>
            <w:r>
              <w:rPr>
                <w:color w:val="000000"/>
              </w:rPr>
              <w:t> </w:t>
            </w:r>
          </w:p>
        </w:tc>
        <w:tc>
          <w:tcPr>
            <w:tcW w:w="154"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65" w:type="dxa"/>
            <w:gridSpan w:val="2"/>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546.7 </w:t>
            </w:r>
          </w:p>
        </w:tc>
        <w:tc>
          <w:tcPr>
            <w:tcW w:w="475"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23" w:before="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333" w:before="0" w:after="0"/>
        <w:jc w:val="left"/>
        <w:rPr/>
      </w:pPr>
      <w:hyperlink w:anchor="i1643453db6654ca39ea0a46a8e0a40e2_4">
        <w:r>
          <w:rPr>
            <w:rStyle w:val="InternetLink"/>
            <w:rFonts w:ascii="Times New Roman;serif" w:hAnsi="Times New Roman;serif"/>
            <w:b w:val="false"/>
            <w:color w:val="0000FF"/>
            <w:sz w:val="20"/>
            <w:u w:val="single"/>
          </w:rPr>
          <w:t>Table of Contents</w:t>
        </w:r>
      </w:hyperlink>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MOHAWK INDUSTRIES, INC. AND SUBSIDIARIES</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1. General</w:t>
      </w:r>
    </w:p>
    <w:p>
      <w:pPr>
        <w:pStyle w:val="TextBody"/>
        <w:bidi w:val="0"/>
        <w:spacing w:before="0" w:after="0"/>
        <w:jc w:val="both"/>
        <w:rPr/>
      </w:pPr>
      <w:r>
        <w:rPr/>
      </w:r>
    </w:p>
    <w:p>
      <w:pPr>
        <w:pStyle w:val="TextBody"/>
        <w:bidi w:val="0"/>
        <w:spacing w:lineRule="auto" w:line="33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Unless this Form 10-Q indicates otherwise or the context otherwise requires, the terms “we,” “our,” “us,” “Mohawk,” or “the Company” as used in this Form 10-Q refer to Mohawk Industries, Inc.</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i/>
          <w:color w:val="000000"/>
          <w:sz w:val="20"/>
        </w:rPr>
      </w:pPr>
      <w:r>
        <w:rPr>
          <w:rFonts w:ascii="Times New Roman;serif" w:hAnsi="Times New Roman;serif"/>
          <w:b w:val="false"/>
          <w:i/>
          <w:color w:val="000000"/>
          <w:sz w:val="20"/>
        </w:rPr>
        <w:t>Interim Reporting</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have been prepared in accordance with instructions to Form 10-Q and do not include all of the information and footnotes required by United States generally accepted accounting principles (“U.S. GAAP”) for complete financial statements. In the opinion of management, all adjustments (consisting of normal recurring accruals) considered necessary for a fair presentation have been included. These statements should be read in conjunction with the Consolidated Financial Statements and notes thereto, and the Company’s description of critical accounting policies, included in the Company’s 2025 Annual Report on Form 10-K, as filed with the U.S. Securities and Exchange Commission. Results for interim periods are not necessarily indicative of the results for the year. </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0"/>
        </w:rPr>
        <w:t xml:space="preserve">On February 20, 2026, the U.S. Supreme Court ruled that certain tariffs imposed under the International Emergency Economic Powers Act (“IEEPA”) by the executive branch are not lawful. On March 4, 2026, the Court of International Trade (CIT) ordered U.S. Customs and Border Protection (CBP) to begin the refund process for all importers who were subject to IEEPA tariffs. As the nature, timing, and extent of any such refunds were uncertain, the Company elected to account for refunds as gain contingencies, based on the original tariff cost recognition in accordance with ASC 450, </w:t>
      </w:r>
      <w:r>
        <w:rPr>
          <w:rFonts w:ascii="Times New Roman;serif" w:hAnsi="Times New Roman;serif"/>
          <w:b w:val="false"/>
          <w:i/>
          <w:color w:val="000000"/>
          <w:sz w:val="20"/>
        </w:rPr>
        <w:t xml:space="preserve">Contingencies </w:t>
      </w:r>
      <w:r>
        <w:rPr>
          <w:rFonts w:ascii="Times New Roman;serif" w:hAnsi="Times New Roman;serif"/>
          <w:b w:val="false"/>
          <w:color w:val="000000"/>
          <w:sz w:val="20"/>
        </w:rPr>
        <w:t xml:space="preserve">(“ASC 450”). </w:t>
      </w:r>
    </w:p>
    <w:p>
      <w:pPr>
        <w:pStyle w:val="TextBody"/>
        <w:bidi w:val="0"/>
        <w:spacing w:before="0" w:after="0"/>
        <w:ind w:left="0" w:right="0" w:firstLine="720"/>
        <w:jc w:val="both"/>
        <w:rPr/>
      </w:pPr>
      <w:r>
        <w:rPr/>
      </w:r>
    </w:p>
    <w:p>
      <w:pPr>
        <w:pStyle w:val="TextBody"/>
        <w:bidi w:val="0"/>
        <w:spacing w:lineRule="auto" w:line="312" w:before="0" w:after="0"/>
        <w:jc w:val="left"/>
        <w:rPr/>
      </w:pPr>
      <w:r>
        <w:rPr>
          <w:rFonts w:ascii="Times New Roman;serif" w:hAnsi="Times New Roman;serif"/>
          <w:b w:val="false"/>
          <w:i/>
          <w:color w:val="000000"/>
          <w:sz w:val="20"/>
        </w:rPr>
        <w:t>Recent Accounting Pronouncements</w:t>
      </w:r>
      <w:r>
        <w:rPr>
          <w:color w:val="000000"/>
        </w:rPr>
        <w:t>—</w:t>
      </w:r>
      <w:r>
        <w:rPr>
          <w:rFonts w:ascii="Times New Roman;serif" w:hAnsi="Times New Roman;serif"/>
          <w:b w:val="false"/>
          <w:i/>
          <w:color w:val="000000"/>
          <w:sz w:val="20"/>
        </w:rPr>
        <w:t>Recently Adopted</w:t>
      </w: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30, 2025, the FASB issued ASU 2025-05, Financial Instruments—Credit Losses (Topic 326): Measurement of Credit Losses for Accounts Receivable and Contract Assets, which provides a practical expedient that allows public entities to assume that current conditions as of the balance sheet date will not change for the remaining life of the asset. That is, current information may be used without making adjustments for expected future changes to relevant data that may impact collectability of receivables. The Company adopted the practical expedient allowed in ASU 2025-05 as of January 1, 2026, with no material impact on reported financial results. </w:t>
      </w: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November 26, 2024, the FASB issued ASU 2024-04, Induced Conversions of Convertible Debt Instruments, which clarifies the requirements for determining whether certain settlements of convertible debt instruments should be accounted for as an induced conversion. The Company adopted the new guidance on a prospective basis as of January 1, 2026, with no impact on the reported financials, as there were no transactions occurring within the scope of the new guidance.</w:t>
      </w:r>
    </w:p>
    <w:p>
      <w:pPr>
        <w:pStyle w:val="TextBody"/>
        <w:bidi w:val="0"/>
        <w:spacing w:before="0" w:after="0"/>
        <w:jc w:val="left"/>
        <w:rPr/>
      </w:pPr>
      <w:r>
        <w:rPr/>
      </w:r>
    </w:p>
    <w:p>
      <w:pPr>
        <w:pStyle w:val="TextBody"/>
        <w:bidi w:val="0"/>
        <w:spacing w:lineRule="auto" w:line="312" w:before="0" w:after="0"/>
        <w:jc w:val="left"/>
        <w:rPr/>
      </w:pPr>
      <w:r>
        <w:rPr>
          <w:rFonts w:ascii="Times New Roman;serif" w:hAnsi="Times New Roman;serif"/>
          <w:b w:val="false"/>
          <w:i/>
          <w:color w:val="000000"/>
          <w:sz w:val="20"/>
        </w:rPr>
        <w:t>Recent Accounting Pronouncements</w:t>
      </w:r>
      <w:r>
        <w:rPr>
          <w:color w:val="000000"/>
        </w:rPr>
        <w:t>—</w:t>
      </w:r>
      <w:r>
        <w:rPr>
          <w:rFonts w:ascii="Times New Roman;serif" w:hAnsi="Times New Roman;serif"/>
          <w:b w:val="false"/>
          <w:i/>
          <w:color w:val="000000"/>
          <w:sz w:val="20"/>
        </w:rPr>
        <w:t>Effective in Future Periods</w:t>
      </w: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November 4, 2024, the FASB issued ASU 2024-03, Disaggregation of income statement expense. ASU 2024-03, as amended by ASU 2025-01, Income Statement – Reporting Comprehensive Income – Expense Disaggregation Disclosures (Subtopic 220-40): Clarifying the Effective Date, requires disaggregated disclosure of income statement expenses for public business entities (“PBEs”). The ASU does not change the expense captions an entity presents on the face of the income statement; rather, it requires disaggregation of certain expense captions into specified categories in disclosures within the footnotes to the financial statements. The amendments in this update are effective for annual reporting periods beginning after December 15, 2026, and interim reporting periods beginning after December 15, 2027. Early adoption is permitted. The Company is currently evaluating the impact of the new guidance.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333" w:before="0" w:after="0"/>
        <w:jc w:val="left"/>
        <w:rPr/>
      </w:pPr>
      <w:hyperlink w:anchor="i1643453db6654ca39ea0a46a8e0a40e2_4">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19, 2025, the FASB issued ASU 2025-06, Intangibles—Goodwill and Other—Internal-Use Software (Subtopic 350-40): Targeted Improvements to the Accounting for Internal-Use Software, which removes all references to software development project stages, and requires entities to start capitalizing software costs when management has authorized and committed to funding the software project and it is probable that the project will be completed and the software will be used to perform its intended function. The new guidance requires entities to consider two factors when determining whether there is significant development uncertainty when considering the probable to complete recognition threshold: (1) Whether the software being developed has technological innovations or novel, unique, or unproven functions or features, and the uncertainty related to those technological innovations, functions, or features, if identified, has not been resolved through coding and testing; and (2) whether the entity has determined what it needs the software to do (for example, functions or features), including whether the entity has identified or continues to substantially revise the software’s significant performance requirements. The new guidance also supersedes the website development costs guidance and incorporates the recognition requirements for website-specific development costs from Subtopic 350-50 into Subtopic 350-40.</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ASU 2025-06 will be effective for annual and interim reporting periods beginning after December 15, 2027, and early adoption is permitted as of the beginning of an annual reporting period. The new guidance may be implemented on a prospective basis, a modified transition approach, or a retrospective transition approach. The Company is evaluating the impact of the new guidance.</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19, 2026, the FASB issued Accounting Standards Update 2026-02—Environmental Credits and Environmental Credit Obligations (Topic 818), which provides guidance on the recognition and measurement of environmental credits. Under the new ASU, an entity is required to recognize an environmental credit as an asset when it is probable that the environmental credit will be used to settle an environmental credit obligation, transferred in an exchange transaction, or used in a nonreciprocal transfer. In other circumstances (for example, environmental credits acquired to satisfy a voluntary net zero emission initiative), the cost to obtain the environmental credit is expensed when incurred. Entities will also be required to recognize an environmental credit obligation liability when events occurring on or before the reporting date result in an environmental credit obligation (for example, when emissions are created).</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guidance in this Update is effective for annual reporting periods beginning after December 15, 2028, and interim reporting periods within those annual reporting periods with early adoption permitted as of the beginning of an annual reporting period. The guidance shall be applied on a retrospective basis through a cumulative-effect adjustment to the opening balance of retained earnings as of the beginning of the annual reporting period of adoption. However, prior period financial statements shall not be recast. The Company is currently evaluating the impact of the new guidance.</w:t>
      </w:r>
    </w:p>
    <w:p>
      <w:pPr>
        <w:pStyle w:val="TextBody"/>
        <w:bidi w:val="0"/>
        <w:spacing w:before="0" w:after="0"/>
        <w:ind w:left="0" w:right="0" w:firstLine="720"/>
        <w:jc w:val="both"/>
        <w:rPr/>
      </w:pPr>
      <w:r>
        <w:rPr/>
      </w:r>
    </w:p>
    <w:p>
      <w:pPr>
        <w:pStyle w:val="TextBody"/>
        <w:bidi w:val="0"/>
        <w:spacing w:lineRule="auto" w:line="333" w:before="0" w:after="0"/>
        <w:jc w:val="both"/>
        <w:rPr>
          <w:rFonts w:ascii="Times New Roman;serif" w:hAnsi="Times New Roman;serif"/>
          <w:b w:val="false"/>
          <w:i/>
          <w:color w:val="000000"/>
          <w:sz w:val="20"/>
        </w:rPr>
      </w:pPr>
      <w:r>
        <w:rPr>
          <w:rFonts w:ascii="Times New Roman;serif" w:hAnsi="Times New Roman;serif"/>
          <w:b w:val="false"/>
          <w:i/>
          <w:color w:val="000000"/>
          <w:sz w:val="20"/>
        </w:rPr>
        <w:t>Revision of Previously Issued Financial Statements</w:t>
      </w: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disclosed in Note 18 to the Consolidated Financial Statements included in the Company’s Annual Report on Form 10</w:t>
        <w:noBreakHyphen/>
        <w:t>K for the year ended December 31, 2025, the Company identified an immaterial error related to intercompany activity impacting accounts receivable. The Company determined that the impacts of the error were not material, individually or in the aggregate, to its previously issued Consolidated Financial Statements and accompanying Notes to the Consolidated Financial Statements for any of the prior quarters or the annual period in which they occurred. However, in accordance with Staff Accounting Bulletin No. 108 of the Securities and Exchange Commission, the Company concluded that correcting the cumulative error in the period during which the error was identified would be material to its results of operations for the fiscal year ended December 31, 2025. As a result, the opening retained earnings as presented in the Form 10-K was adjusted by $42.1 million.</w:t>
      </w: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identified error does not impact the consolidated statements of operations or cash flows for any of the periods presented in this filing. Additional detail regarding the nature of the revision is included in Note 18 to the Consolidated Financial Statements included in the Company’s Annual Report on Form 10</w:t>
        <w:noBreakHyphen/>
        <w:t>K for the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2. Revenue from Contracts with Customers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333" w:before="0" w:after="0"/>
        <w:jc w:val="left"/>
        <w:rPr/>
      </w:pPr>
      <w:hyperlink w:anchor="i1643453db6654ca39ea0a46a8e0a40e2_4">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333" w:before="0" w:after="0"/>
        <w:jc w:val="left"/>
        <w:rPr>
          <w:rFonts w:ascii="Times New Roman;serif" w:hAnsi="Times New Roman;serif"/>
          <w:b w:val="false"/>
          <w:i/>
          <w:color w:val="000000"/>
          <w:sz w:val="20"/>
        </w:rPr>
      </w:pPr>
      <w:r>
        <w:rPr>
          <w:rFonts w:ascii="Times New Roman;serif" w:hAnsi="Times New Roman;serif"/>
          <w:b w:val="false"/>
          <w:i/>
          <w:color w:val="000000"/>
          <w:sz w:val="20"/>
        </w:rPr>
        <w:t>Contract Liabilities</w:t>
      </w: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records contract liabilities when it receives payment prior to fulfilling a performance obligation. Contract liabilities related to revenues are recorded in accounts payable and accrued expenses on the accompanying Condensed Consolidated Balance Sheets. The revenues related to these performance obligations are expected to be recognized within a twelve-month period. The Company had contract liabilities of $71.9 million and $74.3 million as of July 4, 2026, and December 31, 2025, respectively.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i/>
          <w:color w:val="000000"/>
          <w:sz w:val="20"/>
        </w:rPr>
      </w:pPr>
      <w:r>
        <w:rPr>
          <w:rFonts w:ascii="Times New Roman;serif" w:hAnsi="Times New Roman;serif"/>
          <w:b w:val="false"/>
          <w:i/>
          <w:color w:val="000000"/>
          <w:sz w:val="20"/>
        </w:rPr>
        <w:t>Performance Obligations</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Substantially all of the Company’s revenue is recognized at a point in time when the product is either shipped or received from the Company’s facilities and control of the product is transferred to the customer. Accordingly, the Company does not recognize a significant amount of revenue from performance obligations satisfied, or partially satisfied, in prior periods, and the amount of such revenue recognized during the three and six months ended July 4, 2026, and June 28, 2025, was immaterial.</w:t>
      </w:r>
    </w:p>
    <w:p>
      <w:pPr>
        <w:pStyle w:val="TextBody"/>
        <w:bidi w:val="0"/>
        <w:spacing w:before="0" w:after="0"/>
        <w:ind w:left="0" w:right="0" w:firstLine="720"/>
        <w:jc w:val="both"/>
        <w:rPr/>
      </w:pPr>
      <w:r>
        <w:rPr/>
      </w:r>
    </w:p>
    <w:p>
      <w:pPr>
        <w:pStyle w:val="TextBody"/>
        <w:bidi w:val="0"/>
        <w:spacing w:lineRule="auto" w:line="333" w:before="0" w:after="0"/>
        <w:jc w:val="left"/>
        <w:rPr>
          <w:rFonts w:ascii="Times New Roman;serif" w:hAnsi="Times New Roman;serif"/>
          <w:b w:val="false"/>
          <w:i/>
          <w:color w:val="000000"/>
          <w:sz w:val="20"/>
        </w:rPr>
      </w:pPr>
      <w:r>
        <w:rPr>
          <w:rFonts w:ascii="Times New Roman;serif" w:hAnsi="Times New Roman;serif"/>
          <w:b w:val="false"/>
          <w:i/>
          <w:color w:val="000000"/>
          <w:sz w:val="20"/>
        </w:rPr>
        <w:t>Costs to Obtain a Contract</w:t>
      </w: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incurs certain incremental costs to obtain revenue contracts. These costs relate to marketing display structures and are capitalized when the amortization period is greater than one year, with the amount recorded in other assets on the accompanying Condensed Consolidated Balance Sheets. Capitalized costs to obtain contracts were $66.1 million and $58.8 million as of July 4, 2026, and December 31, 2025, respectively. Straight-line amortization expense recognized during the six months ended July 4, 2026, and June 28, 2025, related to these capitalized costs was $23.8 million and $22.8 million, respectively. </w:t>
      </w:r>
    </w:p>
    <w:p>
      <w:pPr>
        <w:pStyle w:val="TextBody"/>
        <w:bidi w:val="0"/>
        <w:spacing w:before="0" w:after="0"/>
        <w:ind w:left="0" w:right="0" w:firstLine="720"/>
        <w:jc w:val="both"/>
        <w:rPr/>
      </w:pPr>
      <w:r>
        <w:rPr/>
      </w:r>
    </w:p>
    <w:p>
      <w:pPr>
        <w:pStyle w:val="TextBody"/>
        <w:bidi w:val="0"/>
        <w:spacing w:lineRule="auto" w:line="333" w:before="0" w:after="0"/>
        <w:jc w:val="both"/>
        <w:rPr>
          <w:rFonts w:ascii="Times New Roman;serif" w:hAnsi="Times New Roman;serif"/>
          <w:b w:val="false"/>
          <w:i/>
          <w:color w:val="000000"/>
          <w:sz w:val="20"/>
        </w:rPr>
      </w:pPr>
      <w:r>
        <w:rPr>
          <w:rFonts w:ascii="Times New Roman;serif" w:hAnsi="Times New Roman;serif"/>
          <w:b w:val="false"/>
          <w:i/>
          <w:color w:val="000000"/>
          <w:sz w:val="20"/>
        </w:rPr>
        <w:t>Revenue Disaggregation</w:t>
      </w:r>
    </w:p>
    <w:p>
      <w:pPr>
        <w:pStyle w:val="TextBody"/>
        <w:bidi w:val="0"/>
        <w:spacing w:before="0" w:after="0"/>
        <w:jc w:val="left"/>
        <w:rPr/>
      </w:pPr>
      <w:r>
        <w:rPr/>
      </w:r>
    </w:p>
    <w:p>
      <w:pPr>
        <w:pStyle w:val="TextBody"/>
        <w:bidi w:val="0"/>
        <w:spacing w:lineRule="auto" w:line="312"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three reporting segments: Global Ceramic, Flooring North America (“Flooring NA”) and Flooring Rest of the World (“Flooring ROW”). The following table presents the Company’s segment revenues disaggregated by the geographical market location of customer sales and product categories for the three months ended July 4, 2026, and June 28, 2025:</w:t>
      </w:r>
    </w:p>
    <w:p>
      <w:pPr>
        <w:pStyle w:val="TextBody"/>
        <w:bidi w:val="0"/>
        <w:spacing w:before="0" w:after="0"/>
        <w:ind w:left="0" w:right="0" w:firstLine="720"/>
        <w:jc w:val="both"/>
        <w:rPr/>
      </w:pPr>
      <w:r>
        <w:rPr/>
      </w:r>
    </w:p>
    <w:tbl>
      <w:tblPr>
        <w:tblW w:w="6681" w:type="dxa"/>
        <w:jc w:val="left"/>
        <w:tblInd w:w="0" w:type="dxa"/>
        <w:tblLayout w:type="fixed"/>
        <w:tblCellMar>
          <w:top w:w="28" w:type="dxa"/>
          <w:left w:w="28" w:type="dxa"/>
          <w:bottom w:w="28" w:type="dxa"/>
          <w:right w:w="28" w:type="dxa"/>
        </w:tblCellMar>
      </w:tblPr>
      <w:tblGrid>
        <w:gridCol w:w="668"/>
        <w:gridCol w:w="586"/>
        <w:gridCol w:w="590"/>
        <w:gridCol w:w="227"/>
        <w:gridCol w:w="841"/>
        <w:gridCol w:w="117"/>
        <w:gridCol w:w="109"/>
        <w:gridCol w:w="329"/>
        <w:gridCol w:w="329"/>
        <w:gridCol w:w="331"/>
        <w:gridCol w:w="109"/>
        <w:gridCol w:w="374"/>
        <w:gridCol w:w="374"/>
        <w:gridCol w:w="376"/>
        <w:gridCol w:w="109"/>
        <w:gridCol w:w="109"/>
        <w:gridCol w:w="109"/>
        <w:gridCol w:w="390"/>
        <w:gridCol w:w="391"/>
        <w:gridCol w:w="213"/>
      </w:tblGrid>
      <w:tr>
        <w:trPr/>
        <w:tc>
          <w:tcPr>
            <w:tcW w:w="66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652" w:type="dxa"/>
            <w:gridSpan w:val="14"/>
            <w:tcBorders/>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July 4, 2026</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Global Ceramic</w:t>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Flooring NA</w:t>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Flooring ROW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844"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Geographical Markets:</w:t>
            </w:r>
          </w:p>
        </w:tc>
        <w:tc>
          <w:tcPr>
            <w:tcW w:w="1185"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636.2</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952.2</w:t>
            </w: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w:t>
            </w: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1,592.0</w:t>
            </w: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340.3</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w:t>
            </w: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644.2</w:t>
            </w: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985.2</w:t>
            </w: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187.3</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w:t>
            </w: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200.6</w:t>
            </w: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45.9</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w:t>
            </w: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145.7</w:t>
            </w: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213.6</w:t>
            </w: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1,209.7</w:t>
            </w:r>
            <w:r>
              <w:rPr>
                <w:color w:val="000000"/>
              </w:rPr>
              <w:t> </w:t>
            </w:r>
          </w:p>
        </w:tc>
        <w:tc>
          <w:tcPr>
            <w:tcW w:w="11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976.1</w:t>
            </w:r>
            <w:r>
              <w:rPr>
                <w:color w:val="000000"/>
              </w:rPr>
              <w:t> </w:t>
            </w:r>
          </w:p>
        </w:tc>
        <w:tc>
          <w:tcPr>
            <w:tcW w:w="3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805.6</w:t>
            </w:r>
            <w:r>
              <w:rPr>
                <w:color w:val="000000"/>
              </w:rPr>
              <w:t> </w:t>
            </w:r>
          </w:p>
        </w:tc>
        <w:tc>
          <w:tcPr>
            <w:tcW w:w="3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2,991.4</w:t>
            </w:r>
            <w:r>
              <w:rPr>
                <w:color w:val="000000"/>
              </w:rPr>
              <w:t> </w:t>
            </w:r>
          </w:p>
        </w:tc>
        <w:tc>
          <w:tcPr>
            <w:tcW w:w="2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Product Categories:</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Ceramic &amp; Stone</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1,191.6</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1,191.6</w:t>
            </w: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Carpet &amp; Resilient</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755.5</w:t>
            </w: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216.3</w:t>
            </w: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989.9</w:t>
            </w: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Laminate &amp; Wood</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220.6</w:t>
            </w: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262.0</w:t>
            </w: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482.6</w:t>
            </w: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(1)</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327.3</w:t>
            </w: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327.3</w:t>
            </w: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7"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1,209.7</w:t>
            </w:r>
            <w:r>
              <w:rPr>
                <w:color w:val="000000"/>
              </w:rPr>
              <w:t> </w:t>
            </w:r>
          </w:p>
        </w:tc>
        <w:tc>
          <w:tcPr>
            <w:tcW w:w="117"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gridSpan w:val="2"/>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976.1</w:t>
            </w:r>
            <w:r>
              <w:rPr>
                <w:color w:val="000000"/>
              </w:rPr>
              <w:t> </w:t>
            </w:r>
          </w:p>
        </w:tc>
        <w:tc>
          <w:tcPr>
            <w:tcW w:w="33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gridSpan w:val="2"/>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805.6</w:t>
            </w:r>
            <w:r>
              <w:rPr>
                <w:color w:val="000000"/>
              </w:rPr>
              <w:t> </w:t>
            </w:r>
          </w:p>
        </w:tc>
        <w:tc>
          <w:tcPr>
            <w:tcW w:w="37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2,991.4</w:t>
            </w:r>
            <w:r>
              <w:rPr>
                <w:color w:val="000000"/>
              </w:rPr>
              <w:t> </w:t>
            </w:r>
          </w:p>
        </w:tc>
        <w:tc>
          <w:tcPr>
            <w:tcW w:w="213"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333" w:before="0" w:after="0"/>
        <w:jc w:val="left"/>
        <w:rPr/>
      </w:pPr>
      <w:hyperlink w:anchor="i1643453db6654ca39ea0a46a8e0a40e2_4">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tbl>
      <w:tblPr>
        <w:tblW w:w="6666" w:type="dxa"/>
        <w:jc w:val="left"/>
        <w:tblInd w:w="0" w:type="dxa"/>
        <w:tblLayout w:type="fixed"/>
        <w:tblCellMar>
          <w:top w:w="28" w:type="dxa"/>
          <w:left w:w="28" w:type="dxa"/>
          <w:bottom w:w="28" w:type="dxa"/>
          <w:right w:w="28" w:type="dxa"/>
        </w:tblCellMar>
      </w:tblPr>
      <w:tblGrid>
        <w:gridCol w:w="668"/>
        <w:gridCol w:w="583"/>
        <w:gridCol w:w="593"/>
        <w:gridCol w:w="230"/>
        <w:gridCol w:w="836"/>
        <w:gridCol w:w="119"/>
        <w:gridCol w:w="109"/>
        <w:gridCol w:w="329"/>
        <w:gridCol w:w="329"/>
        <w:gridCol w:w="331"/>
        <w:gridCol w:w="109"/>
        <w:gridCol w:w="374"/>
        <w:gridCol w:w="374"/>
        <w:gridCol w:w="376"/>
        <w:gridCol w:w="109"/>
        <w:gridCol w:w="109"/>
        <w:gridCol w:w="109"/>
        <w:gridCol w:w="383"/>
        <w:gridCol w:w="383"/>
        <w:gridCol w:w="213"/>
      </w:tblGrid>
      <w:tr>
        <w:trPr/>
        <w:tc>
          <w:tcPr>
            <w:tcW w:w="668"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June 28, 2025</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Global Ceramic</w:t>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Flooring NA</w:t>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Flooring ROW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8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Geographical Markets:</w:t>
            </w:r>
          </w:p>
        </w:tc>
        <w:tc>
          <w:tcPr>
            <w:tcW w:w="118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591.0</w:t>
            </w:r>
          </w:p>
        </w:tc>
        <w:tc>
          <w:tcPr>
            <w:tcW w:w="109" w:type="dxa"/>
            <w:tcBorders/>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w:t>
            </w:r>
          </w:p>
        </w:tc>
        <w:tc>
          <w:tcPr>
            <w:tcW w:w="109" w:type="dxa"/>
            <w:tcBorders/>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560.4 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w:t>
            </w:r>
          </w:p>
        </w:tc>
        <w:tc>
          <w:tcPr>
            <w:tcW w:w="109" w:type="dxa"/>
            <w:tcBorders/>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w:t>
            </w:r>
          </w:p>
        </w:tc>
        <w:tc>
          <w:tcPr>
            <w:tcW w:w="109" w:type="dxa"/>
            <w:tcBorders/>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1,120.9 </w:t>
            </w:r>
          </w:p>
        </w:tc>
        <w:tc>
          <w:tcPr>
            <w:tcW w:w="11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946.8 </w:t>
            </w:r>
          </w:p>
        </w:tc>
        <w:tc>
          <w:tcPr>
            <w:tcW w:w="3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734.4 </w:t>
            </w:r>
          </w:p>
        </w:tc>
        <w:tc>
          <w:tcPr>
            <w:tcW w:w="3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2,802.1 </w:t>
            </w:r>
          </w:p>
        </w:tc>
        <w:tc>
          <w:tcPr>
            <w:tcW w:w="2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Product Categories:</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Ceramic &amp; Stone</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1,101.5</w:t>
            </w:r>
          </w:p>
        </w:tc>
        <w:tc>
          <w:tcPr>
            <w:tcW w:w="109" w:type="dxa"/>
            <w:tcBorders/>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Carpet &amp; Resilient</w:t>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109" w:type="dxa"/>
            <w:tcBorders/>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Laminate &amp; Wood</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(1)</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0"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1,120.9 </w:t>
            </w:r>
          </w:p>
        </w:tc>
        <w:tc>
          <w:tcPr>
            <w:tcW w:w="11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gridSpan w:val="2"/>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946.8 </w:t>
            </w:r>
          </w:p>
        </w:tc>
        <w:tc>
          <w:tcPr>
            <w:tcW w:w="33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gridSpan w:val="2"/>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734.4 </w:t>
            </w:r>
          </w:p>
        </w:tc>
        <w:tc>
          <w:tcPr>
            <w:tcW w:w="37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2,802.1 </w:t>
            </w:r>
          </w:p>
        </w:tc>
        <w:tc>
          <w:tcPr>
            <w:tcW w:w="213"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6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Other includes roofing elements, insulation boards, chipboards and IP contracts.</w:t>
      </w:r>
    </w:p>
    <w:p>
      <w:pPr>
        <w:pStyle w:val="TextBody"/>
        <w:bidi w:val="0"/>
        <w:spacing w:before="60" w:after="283"/>
        <w:ind w:left="0" w:right="0" w:firstLine="720"/>
        <w:jc w:val="both"/>
        <w:rPr/>
      </w:pPr>
      <w:r>
        <w:rPr/>
      </w:r>
    </w:p>
    <w:p>
      <w:pPr>
        <w:pStyle w:val="TextBody"/>
        <w:bidi w:val="0"/>
        <w:spacing w:lineRule="auto" w:line="312"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segment revenues disaggregated by the geographical market location of customer sales and product categories for the six months ended July 4, 2026, and June 28, 2025:</w:t>
      </w:r>
    </w:p>
    <w:tbl>
      <w:tblPr>
        <w:tblW w:w="7479" w:type="dxa"/>
        <w:jc w:val="left"/>
        <w:tblInd w:w="0" w:type="dxa"/>
        <w:tblLayout w:type="fixed"/>
        <w:tblCellMar>
          <w:top w:w="28" w:type="dxa"/>
          <w:left w:w="28" w:type="dxa"/>
          <w:bottom w:w="28" w:type="dxa"/>
          <w:right w:w="28" w:type="dxa"/>
        </w:tblCellMar>
      </w:tblPr>
      <w:tblGrid>
        <w:gridCol w:w="668"/>
        <w:gridCol w:w="586"/>
        <w:gridCol w:w="590"/>
        <w:gridCol w:w="227"/>
        <w:gridCol w:w="841"/>
        <w:gridCol w:w="117"/>
        <w:gridCol w:w="109"/>
        <w:gridCol w:w="109"/>
        <w:gridCol w:w="109"/>
        <w:gridCol w:w="390"/>
        <w:gridCol w:w="391"/>
        <w:gridCol w:w="331"/>
        <w:gridCol w:w="109"/>
        <w:gridCol w:w="109"/>
        <w:gridCol w:w="109"/>
        <w:gridCol w:w="390"/>
        <w:gridCol w:w="391"/>
        <w:gridCol w:w="376"/>
        <w:gridCol w:w="109"/>
        <w:gridCol w:w="109"/>
        <w:gridCol w:w="109"/>
        <w:gridCol w:w="390"/>
        <w:gridCol w:w="391"/>
        <w:gridCol w:w="156"/>
        <w:gridCol w:w="109"/>
        <w:gridCol w:w="154"/>
      </w:tblGrid>
      <w:tr>
        <w:trPr/>
        <w:tc>
          <w:tcPr>
            <w:tcW w:w="66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July 4, 2026</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Global Ceramic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Flooring 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Flooring ROW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Geographical Markets:</w:t>
            </w:r>
          </w:p>
        </w:tc>
        <w:tc>
          <w:tcPr>
            <w:tcW w:w="118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1,218.5</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1,805.9</w:t>
            </w: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w:t>
            </w: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3,032.2</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639.0</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w:t>
            </w: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1,233.3</w:t>
            </w: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1,874.2</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359.2</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w:t>
            </w: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23.0</w:t>
            </w: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385.1</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90.4</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45.4</w:t>
            </w: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292.7</w:t>
            </w: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428.6</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2,307.1</w:t>
            </w:r>
            <w:r>
              <w:rPr>
                <w:color w:val="000000"/>
              </w:rPr>
              <w:t> </w:t>
            </w:r>
          </w:p>
        </w:tc>
        <w:tc>
          <w:tcPr>
            <w:tcW w:w="11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1,856.1</w:t>
            </w:r>
            <w:r>
              <w:rPr>
                <w:color w:val="000000"/>
              </w:rPr>
              <w:t> </w:t>
            </w:r>
          </w:p>
        </w:tc>
        <w:tc>
          <w:tcPr>
            <w:tcW w:w="3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1,556.9</w:t>
            </w:r>
            <w:r>
              <w:rPr>
                <w:color w:val="000000"/>
              </w:rPr>
              <w:t> </w:t>
            </w:r>
          </w:p>
        </w:tc>
        <w:tc>
          <w:tcPr>
            <w:tcW w:w="3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5,720.1</w:t>
            </w:r>
            <w:r>
              <w:rPr>
                <w:color w:val="000000"/>
              </w:rPr>
              <w:t>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Product Categories:</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Ceramic &amp; Stone</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2,273.1</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2,273.1</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Carpet &amp; Resilient</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34.0</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1,432.0</w:t>
            </w: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422.1</w:t>
            </w: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1,888.1</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Laminate &amp; Wood</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424.1</w:t>
            </w: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506.9</w:t>
            </w: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931.0</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(1)</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627.9</w:t>
            </w: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627.9</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7"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2,307.1</w:t>
            </w:r>
            <w:r>
              <w:rPr>
                <w:color w:val="000000"/>
              </w:rPr>
              <w:t> </w:t>
            </w:r>
          </w:p>
        </w:tc>
        <w:tc>
          <w:tcPr>
            <w:tcW w:w="117"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1,856.1</w:t>
            </w:r>
            <w:r>
              <w:rPr>
                <w:color w:val="000000"/>
              </w:rPr>
              <w:t> </w:t>
            </w:r>
          </w:p>
        </w:tc>
        <w:tc>
          <w:tcPr>
            <w:tcW w:w="33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1,556.9</w:t>
            </w:r>
            <w:r>
              <w:rPr>
                <w:color w:val="000000"/>
              </w:rPr>
              <w:t> </w:t>
            </w:r>
          </w:p>
        </w:tc>
        <w:tc>
          <w:tcPr>
            <w:tcW w:w="37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5,720.1</w:t>
            </w:r>
            <w:r>
              <w:rPr>
                <w:color w:val="000000"/>
              </w:rPr>
              <w:t> </w:t>
            </w:r>
          </w:p>
        </w:tc>
        <w:tc>
          <w:tcPr>
            <w:tcW w:w="15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333" w:before="0" w:after="0"/>
        <w:jc w:val="left"/>
        <w:rPr/>
      </w:pPr>
      <w:hyperlink w:anchor="i1643453db6654ca39ea0a46a8e0a40e2_4">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tbl>
      <w:tblPr>
        <w:tblW w:w="7479" w:type="dxa"/>
        <w:jc w:val="left"/>
        <w:tblInd w:w="0" w:type="dxa"/>
        <w:tblLayout w:type="fixed"/>
        <w:tblCellMar>
          <w:top w:w="28" w:type="dxa"/>
          <w:left w:w="28" w:type="dxa"/>
          <w:bottom w:w="28" w:type="dxa"/>
          <w:right w:w="28" w:type="dxa"/>
        </w:tblCellMar>
      </w:tblPr>
      <w:tblGrid>
        <w:gridCol w:w="684"/>
        <w:gridCol w:w="599"/>
        <w:gridCol w:w="606"/>
        <w:gridCol w:w="230"/>
        <w:gridCol w:w="836"/>
        <w:gridCol w:w="119"/>
        <w:gridCol w:w="109"/>
        <w:gridCol w:w="109"/>
        <w:gridCol w:w="109"/>
        <w:gridCol w:w="383"/>
        <w:gridCol w:w="383"/>
        <w:gridCol w:w="331"/>
        <w:gridCol w:w="109"/>
        <w:gridCol w:w="109"/>
        <w:gridCol w:w="109"/>
        <w:gridCol w:w="383"/>
        <w:gridCol w:w="383"/>
        <w:gridCol w:w="376"/>
        <w:gridCol w:w="109"/>
        <w:gridCol w:w="109"/>
        <w:gridCol w:w="109"/>
        <w:gridCol w:w="383"/>
        <w:gridCol w:w="383"/>
        <w:gridCol w:w="156"/>
        <w:gridCol w:w="109"/>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June 28, 2025</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Global Ceramic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Flooring 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Flooring ROW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Geographical Markets:</w:t>
            </w:r>
          </w:p>
        </w:tc>
        <w:tc>
          <w:tcPr>
            <w:tcW w:w="118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1,080.0 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2,114.7 </w:t>
            </w:r>
          </w:p>
        </w:tc>
        <w:tc>
          <w:tcPr>
            <w:tcW w:w="11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1,809.2 </w:t>
            </w:r>
          </w:p>
        </w:tc>
        <w:tc>
          <w:tcPr>
            <w:tcW w:w="3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1,404.0 </w:t>
            </w:r>
          </w:p>
        </w:tc>
        <w:tc>
          <w:tcPr>
            <w:tcW w:w="3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5,327.9 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Product Categories:</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Ceramic &amp; Stone</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Carpet &amp; Resilient</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405.7 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Laminate &amp; Wood</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455.6 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(1)</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542.7 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0"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2,114.7 </w:t>
            </w:r>
          </w:p>
        </w:tc>
        <w:tc>
          <w:tcPr>
            <w:tcW w:w="11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1,809.2 </w:t>
            </w:r>
          </w:p>
        </w:tc>
        <w:tc>
          <w:tcPr>
            <w:tcW w:w="33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1,404.0 </w:t>
            </w:r>
          </w:p>
        </w:tc>
        <w:tc>
          <w:tcPr>
            <w:tcW w:w="37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5,327.9 </w:t>
            </w:r>
          </w:p>
        </w:tc>
        <w:tc>
          <w:tcPr>
            <w:tcW w:w="15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6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Other includes roofing elements, insulation boards, chipboards and IP contracts.</w:t>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3. Restructuring, Acquisition and Integration-Related Costs</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incurs costs in connection with acquiring, integrating and restructuring acquisitions and in connection with its global cost-reduction and productivity initiatives. For example:</w:t>
      </w:r>
    </w:p>
    <w:p>
      <w:pPr>
        <w:pStyle w:val="TextBody"/>
        <w:bidi w:val="0"/>
        <w:spacing w:before="0" w:after="0"/>
        <w:jc w:val="both"/>
        <w:rPr/>
      </w:pPr>
      <w:r>
        <w:rPr/>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0"/>
        </w:rPr>
        <w:t>In connection with acquisition activity, the Company typically incurs costs associated with executing the transactions, integrating the acquired operations (which may include expenditures for consulting and the integration of systems and processes), and restructuring the combined company (which may include charges related to employees, assets and activities that will not continue in the combined company); and</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0"/>
        </w:rPr>
        <w:t xml:space="preserve">In connection with the Company’s cost-reduction/productivity initiatives, it typically incurs costs and charges associated with site closings and other facility rationalization actions, including accelerated depreciation (“asset write-downs”) and workforce reductions. </w:t>
      </w:r>
    </w:p>
    <w:p>
      <w:pPr>
        <w:pStyle w:val="TextBody"/>
        <w:bidi w:val="0"/>
        <w:spacing w:before="0" w:after="0"/>
        <w:jc w:val="both"/>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acquisition transaction and integration-related costs consisted of the following during the three and six months ended July 4, 2026, and June 28, 2025:</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901"/>
        <w:gridCol w:w="1663"/>
        <w:gridCol w:w="1675"/>
        <w:gridCol w:w="247"/>
        <w:gridCol w:w="618"/>
        <w:gridCol w:w="127"/>
        <w:gridCol w:w="113"/>
        <w:gridCol w:w="113"/>
        <w:gridCol w:w="113"/>
        <w:gridCol w:w="364"/>
        <w:gridCol w:w="347"/>
        <w:gridCol w:w="349"/>
        <w:gridCol w:w="109"/>
        <w:gridCol w:w="347"/>
        <w:gridCol w:w="334"/>
        <w:gridCol w:w="332"/>
        <w:gridCol w:w="337"/>
        <w:gridCol w:w="332"/>
        <w:gridCol w:w="320"/>
        <w:gridCol w:w="464"/>
      </w:tblGrid>
      <w:tr>
        <w:trPr/>
        <w:tc>
          <w:tcPr>
            <w:tcW w:w="1901"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r>
      <w:tr>
        <w:trPr/>
        <w:tc>
          <w:tcPr>
            <w:tcW w:w="5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350"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r>
          </w:p>
        </w:tc>
        <w:tc>
          <w:tcPr>
            <w:tcW w:w="1116" w:type="dxa"/>
            <w:gridSpan w:val="3"/>
            <w:tcBorders/>
          </w:tcPr>
          <w:p>
            <w:pPr>
              <w:pStyle w:val="TableContents"/>
              <w:bidi w:val="0"/>
              <w:spacing w:before="0" w:after="283"/>
              <w:jc w:val="left"/>
              <w:rPr>
                <w:sz w:val="4"/>
                <w:szCs w:val="4"/>
              </w:rPr>
            </w:pPr>
            <w:r>
              <w:rPr>
                <w:sz w:val="4"/>
                <w:szCs w:val="4"/>
              </w:rPr>
            </w:r>
          </w:p>
        </w:tc>
      </w:tr>
      <w:tr>
        <w:trPr/>
        <w:tc>
          <w:tcPr>
            <w:tcW w:w="5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9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July 4, 2026</w:t>
            </w:r>
          </w:p>
        </w:tc>
        <w:tc>
          <w:tcPr>
            <w:tcW w:w="3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June 28, 2025</w:t>
            </w:r>
          </w:p>
        </w:tc>
        <w:tc>
          <w:tcPr>
            <w:tcW w:w="109" w:type="dxa"/>
            <w:tcBorders/>
            <w:vAlign w:val="center"/>
          </w:tcPr>
          <w:p>
            <w:pPr>
              <w:pStyle w:val="TableContents"/>
              <w:bidi w:val="0"/>
              <w:spacing w:before="0" w:after="283"/>
              <w:jc w:val="left"/>
              <w:rPr>
                <w:sz w:val="4"/>
                <w:szCs w:val="4"/>
              </w:rPr>
            </w:pPr>
            <w:r>
              <w:rPr>
                <w:sz w:val="4"/>
                <w:szCs w:val="4"/>
              </w:rPr>
            </w:r>
          </w:p>
        </w:tc>
        <w:tc>
          <w:tcPr>
            <w:tcW w:w="10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July 4, 2026</w:t>
            </w:r>
          </w:p>
        </w:tc>
        <w:tc>
          <w:tcPr>
            <w:tcW w:w="337" w:type="dxa"/>
            <w:tcBorders/>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June 28, 2025</w:t>
            </w:r>
          </w:p>
        </w:tc>
      </w:tr>
      <w:tr>
        <w:trPr/>
        <w:tc>
          <w:tcPr>
            <w:tcW w:w="523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Cost of sales:</w:t>
            </w:r>
          </w:p>
        </w:tc>
        <w:tc>
          <w:tcPr>
            <w:tcW w:w="99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27.0</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61.8</w:t>
            </w: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transaction-related costs</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9"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52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acquisition transaction and integration-related costs</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27.0</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61.8</w:t>
            </w:r>
            <w:r>
              <w:rPr>
                <w:color w:val="000000"/>
              </w:rPr>
              <w:t> </w:t>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4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14.3</w:t>
            </w: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transaction-related costs</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0.3</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0.5</w:t>
            </w: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9"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523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acquisition transaction and integration-related costs</w:t>
            </w:r>
          </w:p>
        </w:tc>
        <w:tc>
          <w:tcPr>
            <w:tcW w:w="2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w:t>
            </w:r>
            <w:r>
              <w:rPr>
                <w:color w:val="000000"/>
              </w:rPr>
              <w:t> </w:t>
            </w:r>
          </w:p>
        </w:tc>
        <w:tc>
          <w:tcPr>
            <w:tcW w:w="1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w:t>
            </w:r>
            <w:r>
              <w:rPr>
                <w:color w:val="000000"/>
              </w:rPr>
              <w:t> </w:t>
            </w:r>
          </w:p>
        </w:tc>
        <w:tc>
          <w:tcPr>
            <w:tcW w:w="3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333" w:before="0" w:after="0"/>
        <w:jc w:val="left"/>
        <w:rPr/>
      </w:pPr>
      <w:hyperlink w:anchor="i1643453db6654ca39ea0a46a8e0a40e2_4">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312"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2024 and 2025, the Company implemented a number of restructuring actions, productivity initiatives and manufacturing enhancements focused on reducing costs to enhance future performance, including certain facility, asset and product rationalizations and workforce reductions. In 2026, the Company announced further restructuring actions to take advantage of additional opportunities related to the activities described above, including assets and product rationalizations and workforce reductions to further reduce costs and streamline the business for the future.</w:t>
      </w:r>
    </w:p>
    <w:p>
      <w:pPr>
        <w:pStyle w:val="TextBody"/>
        <w:bidi w:val="0"/>
        <w:spacing w:before="0" w:after="0"/>
        <w:ind w:left="0" w:right="0" w:firstLine="720"/>
        <w:jc w:val="both"/>
        <w:rPr/>
      </w:pPr>
      <w:r>
        <w:rPr/>
      </w:r>
    </w:p>
    <w:p>
      <w:pPr>
        <w:pStyle w:val="TextBody"/>
        <w:bidi w:val="0"/>
        <w:spacing w:lineRule="auto" w:line="312"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restructuring activities for the three months ended July 4, 2026:</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81"/>
        <w:gridCol w:w="848"/>
        <w:gridCol w:w="850"/>
        <w:gridCol w:w="273"/>
        <w:gridCol w:w="545"/>
        <w:gridCol w:w="143"/>
        <w:gridCol w:w="109"/>
        <w:gridCol w:w="109"/>
        <w:gridCol w:w="109"/>
        <w:gridCol w:w="751"/>
        <w:gridCol w:w="751"/>
        <w:gridCol w:w="754"/>
        <w:gridCol w:w="109"/>
        <w:gridCol w:w="109"/>
        <w:gridCol w:w="109"/>
        <w:gridCol w:w="270"/>
        <w:gridCol w:w="270"/>
        <w:gridCol w:w="271"/>
        <w:gridCol w:w="109"/>
        <w:gridCol w:w="109"/>
        <w:gridCol w:w="109"/>
        <w:gridCol w:w="330"/>
        <w:gridCol w:w="330"/>
        <w:gridCol w:w="331"/>
        <w:gridCol w:w="109"/>
        <w:gridCol w:w="109"/>
        <w:gridCol w:w="109"/>
        <w:gridCol w:w="109"/>
        <w:gridCol w:w="109"/>
        <w:gridCol w:w="282"/>
        <w:gridCol w:w="282"/>
        <w:gridCol w:w="217"/>
      </w:tblGrid>
      <w:tr>
        <w:trPr/>
        <w:tc>
          <w:tcPr>
            <w:tcW w:w="1181"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Lease</w:t>
              <w:br/>
              <w:t>impairments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Asset write-downs and gains on disposals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Severance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Other</w:t>
              <w:br/>
              <w:t>restructuring</w:t>
              <w:br/>
              <w:t>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87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April 4, 2026</w:t>
            </w:r>
          </w:p>
        </w:tc>
        <w:tc>
          <w:tcPr>
            <w:tcW w:w="27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w:t>
            </w:r>
            <w:r>
              <w:rPr>
                <w:color w:val="000000"/>
              </w:rPr>
              <w:t>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w:t>
            </w:r>
            <w:r>
              <w:rPr>
                <w:color w:val="000000"/>
              </w:rPr>
              <w:t> </w:t>
            </w:r>
          </w:p>
        </w:tc>
        <w:tc>
          <w:tcPr>
            <w:tcW w:w="21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Global Ceramic </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w:t>
            </w:r>
            <w:r>
              <w:rPr>
                <w:color w:val="000000"/>
              </w:rPr>
              <w:t> </w:t>
            </w:r>
          </w:p>
        </w:tc>
        <w:tc>
          <w:tcPr>
            <w:tcW w:w="7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w:t>
            </w: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w:t>
            </w: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Flooring NA </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w:t>
            </w:r>
            <w:r>
              <w:rPr>
                <w:color w:val="000000"/>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0.5</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w:t>
            </w: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w:t>
            </w: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Flooring ROW </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7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20.1</w:t>
            </w: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restructuring costs</w:t>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18.4</w:t>
            </w:r>
            <w:r>
              <w:rPr>
                <w:color w:val="000000"/>
              </w:rPr>
              <w:t> </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w:t>
            </w:r>
            <w:r>
              <w:rPr>
                <w:color w:val="000000"/>
              </w:rPr>
              <w:t>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38.7</w:t>
            </w:r>
            <w:r>
              <w:rPr>
                <w:color w:val="000000"/>
              </w:rPr>
              <w:t>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w:t>
            </w:r>
            <w:r>
              <w:rPr>
                <w:color w:val="000000"/>
              </w:rPr>
              <w:t> </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(7.7)</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(8.9)</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items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(20.0)</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(25.7)</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July 4, 2026</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21.1</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21.1</w:t>
            </w: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 recorded in:</w:t>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w:t>
            </w:r>
            <w:r>
              <w:rPr>
                <w:color w:val="000000"/>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w:t>
            </w: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27.0</w:t>
            </w: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w:t>
            </w:r>
            <w:r>
              <w:rPr>
                <w:color w:val="000000"/>
              </w:rPr>
              <w:t> </w:t>
            </w:r>
          </w:p>
        </w:tc>
        <w:tc>
          <w:tcPr>
            <w:tcW w:w="7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w:t>
            </w: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w:t>
            </w: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restructuring costs</w:t>
            </w:r>
          </w:p>
        </w:tc>
        <w:tc>
          <w:tcPr>
            <w:tcW w:w="27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w:t>
            </w:r>
            <w:r>
              <w:rPr>
                <w:color w:val="000000"/>
              </w:rPr>
              <w:t> </w:t>
            </w:r>
          </w:p>
        </w:tc>
        <w:tc>
          <w:tcPr>
            <w:tcW w:w="14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18.4</w:t>
            </w:r>
            <w:r>
              <w:rPr>
                <w:color w:val="000000"/>
              </w:rPr>
              <w:t> </w:t>
            </w:r>
          </w:p>
        </w:tc>
        <w:tc>
          <w:tcPr>
            <w:tcW w:w="7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w:t>
            </w:r>
            <w:r>
              <w:rPr>
                <w:color w:val="000000"/>
              </w:rPr>
              <w:t> </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w:t>
            </w:r>
            <w:r>
              <w:rPr>
                <w:color w:val="000000"/>
              </w:rPr>
              <w:t> </w:t>
            </w:r>
          </w:p>
        </w:tc>
        <w:tc>
          <w:tcPr>
            <w:tcW w:w="3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38.7</w:t>
            </w:r>
            <w:r>
              <w:rPr>
                <w:color w:val="000000"/>
              </w:rPr>
              <w:t> </w:t>
            </w:r>
          </w:p>
        </w:tc>
        <w:tc>
          <w:tcPr>
            <w:tcW w:w="2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restructuring activities for the six months ended July 4, 2026:</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127"/>
        <w:gridCol w:w="877"/>
        <w:gridCol w:w="858"/>
        <w:gridCol w:w="273"/>
        <w:gridCol w:w="545"/>
        <w:gridCol w:w="143"/>
        <w:gridCol w:w="109"/>
        <w:gridCol w:w="109"/>
        <w:gridCol w:w="109"/>
        <w:gridCol w:w="747"/>
        <w:gridCol w:w="747"/>
        <w:gridCol w:w="749"/>
        <w:gridCol w:w="109"/>
        <w:gridCol w:w="109"/>
        <w:gridCol w:w="109"/>
        <w:gridCol w:w="284"/>
        <w:gridCol w:w="284"/>
        <w:gridCol w:w="271"/>
        <w:gridCol w:w="109"/>
        <w:gridCol w:w="109"/>
        <w:gridCol w:w="109"/>
        <w:gridCol w:w="330"/>
        <w:gridCol w:w="330"/>
        <w:gridCol w:w="331"/>
        <w:gridCol w:w="109"/>
        <w:gridCol w:w="109"/>
        <w:gridCol w:w="109"/>
        <w:gridCol w:w="109"/>
        <w:gridCol w:w="109"/>
        <w:gridCol w:w="282"/>
        <w:gridCol w:w="282"/>
        <w:gridCol w:w="219"/>
      </w:tblGrid>
      <w:tr>
        <w:trPr/>
        <w:tc>
          <w:tcPr>
            <w:tcW w:w="112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Lease</w:t>
              <w:br/>
              <w:t>impairments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Asset write-downs and gains on disposals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Severance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Other</w:t>
              <w:br/>
              <w:t>restructuring</w:t>
              <w:br/>
              <w:t>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86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7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27.2</w:t>
            </w:r>
            <w:r>
              <w:rPr>
                <w:color w:val="000000"/>
              </w:rPr>
              <w:t>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27.2</w:t>
            </w:r>
            <w:r>
              <w:rPr>
                <w:color w:val="000000"/>
              </w:rPr>
              <w:t> </w:t>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Global Ceramic </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w:t>
            </w:r>
            <w:r>
              <w:rPr>
                <w:color w:val="000000"/>
              </w:rPr>
              <w:t> </w:t>
            </w:r>
          </w:p>
        </w:tc>
        <w:tc>
          <w:tcPr>
            <w:tcW w:w="7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0.5</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0.9</w:t>
            </w: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w:t>
            </w: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Flooring NA </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36.0</w:t>
            </w:r>
            <w:r>
              <w:rPr>
                <w:color w:val="000000"/>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0.6</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w:t>
            </w: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44.8</w:t>
            </w: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Flooring ROW </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w:t>
            </w:r>
            <w:r>
              <w:rPr>
                <w:color w:val="000000"/>
              </w:rPr>
              <w:t> </w:t>
            </w:r>
          </w:p>
        </w:tc>
        <w:tc>
          <w:tcPr>
            <w:tcW w:w="7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w:t>
            </w: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23.0</w:t>
            </w: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r>
      <w:tr>
        <w:trPr/>
        <w:tc>
          <w:tcPr>
            <w:tcW w:w="28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restructuring costs</w:t>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50.2</w:t>
            </w:r>
            <w:r>
              <w:rPr>
                <w:color w:val="000000"/>
              </w:rPr>
              <w:t> </w:t>
            </w:r>
          </w:p>
        </w:tc>
        <w:tc>
          <w:tcPr>
            <w:tcW w:w="7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w:t>
            </w:r>
            <w:r>
              <w:rPr>
                <w:color w:val="000000"/>
              </w:rPr>
              <w:t>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76.1</w:t>
            </w:r>
            <w:r>
              <w:rPr>
                <w:color w:val="000000"/>
              </w:rPr>
              <w:t>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proceeds (payments)</w:t>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w:t>
            </w:r>
            <w:r>
              <w:rPr>
                <w:color w:val="000000"/>
              </w:rPr>
              <w:t> </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(11.5)</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(20.5)</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(expense) income</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(57.0)</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(61.7)</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July 4, 2026</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21.1</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21.1</w:t>
            </w: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r>
      <w:tr>
        <w:trPr/>
        <w:tc>
          <w:tcPr>
            <w:tcW w:w="28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 recorded in:</w:t>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47.3</w:t>
            </w:r>
            <w:r>
              <w:rPr>
                <w:color w:val="000000"/>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0.8</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61.8</w:t>
            </w: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w:t>
            </w:r>
            <w:r>
              <w:rPr>
                <w:color w:val="000000"/>
              </w:rPr>
              <w:t> </w:t>
            </w:r>
          </w:p>
        </w:tc>
        <w:tc>
          <w:tcPr>
            <w:tcW w:w="7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w:t>
            </w: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14.3</w:t>
            </w: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restructuring costs</w:t>
            </w:r>
          </w:p>
        </w:tc>
        <w:tc>
          <w:tcPr>
            <w:tcW w:w="27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w:t>
            </w:r>
            <w:r>
              <w:rPr>
                <w:color w:val="000000"/>
              </w:rPr>
              <w:t> </w:t>
            </w:r>
          </w:p>
        </w:tc>
        <w:tc>
          <w:tcPr>
            <w:tcW w:w="14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50.2</w:t>
            </w:r>
            <w:r>
              <w:rPr>
                <w:color w:val="000000"/>
              </w:rPr>
              <w:t> </w:t>
            </w:r>
          </w:p>
        </w:tc>
        <w:tc>
          <w:tcPr>
            <w:tcW w:w="7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w:t>
            </w:r>
            <w:r>
              <w:rPr>
                <w:color w:val="000000"/>
              </w:rPr>
              <w:t> </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w:t>
            </w:r>
            <w:r>
              <w:rPr>
                <w:color w:val="000000"/>
              </w:rPr>
              <w:t> </w:t>
            </w:r>
          </w:p>
        </w:tc>
        <w:tc>
          <w:tcPr>
            <w:tcW w:w="3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76.1</w:t>
            </w:r>
            <w:r>
              <w:rPr>
                <w:color w:val="000000"/>
              </w:rPr>
              <w:t> </w:t>
            </w:r>
          </w:p>
        </w:tc>
        <w:tc>
          <w:tcPr>
            <w:tcW w:w="2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333" w:before="0" w:after="0"/>
        <w:jc w:val="left"/>
        <w:rPr/>
      </w:pPr>
      <w:hyperlink w:anchor="i1643453db6654ca39ea0a46a8e0a40e2_4">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333" w:before="1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currently estimates that it will incur additional restructuring costs of approximately $50 to $60 million primarily related to asset disposals and other restructuring related costs, which are expected to be executed throughout the remainder of 2026 and into 2027.</w:t>
      </w:r>
    </w:p>
    <w:p>
      <w:pPr>
        <w:pStyle w:val="TextBody"/>
        <w:bidi w:val="0"/>
        <w:spacing w:before="10" w:after="283"/>
        <w:ind w:left="0" w:right="0" w:firstLine="720"/>
        <w:jc w:val="both"/>
        <w:rPr/>
      </w:pPr>
      <w:r>
        <w:rPr/>
      </w:r>
    </w:p>
    <w:p>
      <w:pPr>
        <w:pStyle w:val="TextBody"/>
        <w:bidi w:val="0"/>
        <w:spacing w:lineRule="auto" w:line="333" w:before="1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July 4, 2026, the accrual balance related to restructuring activities was $0.1 million for plans approved prior to 2024, $2.0 million for plans approved during 2024, $10.0 million for plans approved during 2025 and $9.0 million for plans approved during 2026.</w:t>
      </w:r>
    </w:p>
    <w:p>
      <w:pPr>
        <w:pStyle w:val="TextBody"/>
        <w:bidi w:val="0"/>
        <w:spacing w:before="10" w:after="283"/>
        <w:ind w:left="0" w:right="0" w:firstLine="720"/>
        <w:jc w:val="both"/>
        <w:rPr/>
      </w:pPr>
      <w:r>
        <w:rPr/>
      </w:r>
    </w:p>
    <w:p>
      <w:pPr>
        <w:pStyle w:val="TextBody"/>
        <w:bidi w:val="0"/>
        <w:spacing w:lineRule="auto" w:line="333" w:before="1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plans approved prior to 2024, restructuring expenses of $1.0 million and $1.1 million were recorded during the three and six months ended July 4, 2026, respectively. For the plans approved during 2024, restructuring expenses of $7.8 million and $11.5 million were recorded during the three and six months ended July 4, 2026, respectively. For the plans approved during 2025, restructuring expenses of $5.3 million and $38.9 million were recorded during the three and six months ended July 4, 2026, respectively. For the plans approved during 2026, restructuring expenses of $24.6 million were recorded during the three and six months ended July 4, 2026. </w:t>
      </w:r>
    </w:p>
    <w:p>
      <w:pPr>
        <w:pStyle w:val="TextBody"/>
        <w:bidi w:val="0"/>
        <w:spacing w:before="10" w:after="283"/>
        <w:ind w:left="0" w:right="0" w:firstLine="720"/>
        <w:jc w:val="both"/>
        <w:rPr/>
      </w:pPr>
      <w:r>
        <w:rPr/>
      </w:r>
    </w:p>
    <w:p>
      <w:pPr>
        <w:pStyle w:val="TextBody"/>
        <w:bidi w:val="0"/>
        <w:spacing w:lineRule="auto" w:line="333" w:before="1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expects the remaining severance and other restructuring costs to be paid over the next 12 months.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100"/>
        <w:jc w:val="left"/>
        <w:rPr>
          <w:rFonts w:ascii="Times New Roman;serif" w:hAnsi="Times New Roman;serif"/>
          <w:b/>
          <w:color w:val="000000"/>
          <w:sz w:val="20"/>
        </w:rPr>
      </w:pPr>
      <w:r>
        <w:rPr>
          <w:rFonts w:ascii="Times New Roman;serif" w:hAnsi="Times New Roman;serif"/>
          <w:b/>
          <w:color w:val="000000"/>
          <w:sz w:val="20"/>
        </w:rPr>
        <w:t>4. Receivables, net</w:t>
      </w:r>
    </w:p>
    <w:tbl>
      <w:tblPr>
        <w:tblW w:w="7937" w:type="dxa"/>
        <w:jc w:val="left"/>
        <w:tblInd w:w="0" w:type="dxa"/>
        <w:tblLayout w:type="fixed"/>
        <w:tblCellMar>
          <w:top w:w="28" w:type="dxa"/>
          <w:left w:w="28" w:type="dxa"/>
          <w:bottom w:w="28" w:type="dxa"/>
          <w:right w:w="28" w:type="dxa"/>
        </w:tblCellMar>
      </w:tblPr>
      <w:tblGrid>
        <w:gridCol w:w="1806"/>
        <w:gridCol w:w="1579"/>
        <w:gridCol w:w="1594"/>
        <w:gridCol w:w="211"/>
        <w:gridCol w:w="781"/>
        <w:gridCol w:w="109"/>
        <w:gridCol w:w="109"/>
        <w:gridCol w:w="109"/>
        <w:gridCol w:w="109"/>
        <w:gridCol w:w="447"/>
        <w:gridCol w:w="447"/>
        <w:gridCol w:w="636"/>
      </w:tblGrid>
      <w:tr>
        <w:trPr/>
        <w:tc>
          <w:tcPr>
            <w:tcW w:w="1806"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July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December 31, 2025</w:t>
            </w:r>
          </w:p>
        </w:tc>
      </w:tr>
      <w:tr>
        <w:trPr/>
        <w:tc>
          <w:tcPr>
            <w:tcW w:w="497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Customers, trade</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2,145.5</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1,773.0 </w:t>
            </w:r>
          </w:p>
        </w:tc>
        <w:tc>
          <w:tcPr>
            <w:tcW w:w="63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receivable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discounts, claims and doubtful accounts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net</w:t>
            </w:r>
          </w:p>
        </w:tc>
        <w:tc>
          <w:tcPr>
            <w:tcW w:w="21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2,284.3</w:t>
            </w:r>
            <w:r>
              <w:rPr>
                <w:color w:val="000000"/>
              </w:rPr>
              <w:t> </w:t>
            </w:r>
          </w:p>
        </w:tc>
        <w:tc>
          <w:tcPr>
            <w:tcW w:w="10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1,924.1 </w:t>
            </w:r>
          </w:p>
        </w:tc>
        <w:tc>
          <w:tcPr>
            <w:tcW w:w="63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100"/>
        <w:jc w:val="left"/>
        <w:rPr>
          <w:rFonts w:ascii="Times New Roman;serif" w:hAnsi="Times New Roman;serif"/>
          <w:b/>
          <w:color w:val="000000"/>
          <w:sz w:val="20"/>
        </w:rPr>
      </w:pPr>
      <w:r>
        <w:rPr>
          <w:rFonts w:ascii="Times New Roman;serif" w:hAnsi="Times New Roman;serif"/>
          <w:b/>
          <w:color w:val="000000"/>
          <w:sz w:val="20"/>
        </w:rPr>
        <w:t>5. Inventories</w:t>
      </w:r>
    </w:p>
    <w:tbl>
      <w:tblPr>
        <w:tblW w:w="4473" w:type="dxa"/>
        <w:jc w:val="left"/>
        <w:tblInd w:w="0" w:type="dxa"/>
        <w:tblLayout w:type="fixed"/>
        <w:tblCellMar>
          <w:top w:w="28" w:type="dxa"/>
          <w:left w:w="28" w:type="dxa"/>
          <w:bottom w:w="28" w:type="dxa"/>
          <w:right w:w="28" w:type="dxa"/>
        </w:tblCellMar>
      </w:tblPr>
      <w:tblGrid>
        <w:gridCol w:w="550"/>
        <w:gridCol w:w="481"/>
        <w:gridCol w:w="484"/>
        <w:gridCol w:w="211"/>
        <w:gridCol w:w="781"/>
        <w:gridCol w:w="109"/>
        <w:gridCol w:w="109"/>
        <w:gridCol w:w="109"/>
        <w:gridCol w:w="109"/>
        <w:gridCol w:w="447"/>
        <w:gridCol w:w="447"/>
        <w:gridCol w:w="636"/>
      </w:tblGrid>
      <w:tr>
        <w:trPr/>
        <w:tc>
          <w:tcPr>
            <w:tcW w:w="55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July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December 31, 2025</w:t>
            </w:r>
          </w:p>
        </w:tc>
      </w:tr>
      <w:tr>
        <w:trPr/>
        <w:tc>
          <w:tcPr>
            <w:tcW w:w="151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1,862.8</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1,926.2 </w:t>
            </w:r>
          </w:p>
        </w:tc>
        <w:tc>
          <w:tcPr>
            <w:tcW w:w="63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605.7 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21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2,585.6</w:t>
            </w:r>
            <w:r>
              <w:rPr>
                <w:color w:val="000000"/>
              </w:rPr>
              <w:t> </w:t>
            </w:r>
          </w:p>
        </w:tc>
        <w:tc>
          <w:tcPr>
            <w:tcW w:w="1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2,661.7 </w:t>
            </w:r>
          </w:p>
        </w:tc>
        <w:tc>
          <w:tcPr>
            <w:tcW w:w="63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6. Goodwill and Intangible Assets</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components of goodwill and other intangible assets are as follows:</w:t>
      </w:r>
    </w:p>
    <w:p>
      <w:pPr>
        <w:pStyle w:val="TextBody"/>
        <w:bidi w:val="0"/>
        <w:spacing w:before="0" w:after="0"/>
        <w:jc w:val="left"/>
        <w:rPr/>
      </w:pPr>
      <w:r>
        <w:rPr/>
      </w:r>
    </w:p>
    <w:p>
      <w:pPr>
        <w:pStyle w:val="TextBody"/>
        <w:bidi w:val="0"/>
        <w:spacing w:lineRule="auto" w:line="333" w:before="0" w:after="100"/>
        <w:jc w:val="left"/>
        <w:rPr>
          <w:rFonts w:ascii="Times New Roman;serif" w:hAnsi="Times New Roman;serif"/>
          <w:b/>
          <w:color w:val="000000"/>
          <w:sz w:val="20"/>
        </w:rPr>
      </w:pPr>
      <w:r>
        <w:rPr>
          <w:rFonts w:ascii="Times New Roman;serif" w:hAnsi="Times New Roman;serif"/>
          <w:b/>
          <w:color w:val="000000"/>
          <w:sz w:val="20"/>
        </w:rPr>
        <w:t>Goodwill:</w:t>
      </w:r>
    </w:p>
    <w:tbl>
      <w:tblPr>
        <w:tblW w:w="7664" w:type="dxa"/>
        <w:jc w:val="left"/>
        <w:tblInd w:w="0" w:type="dxa"/>
        <w:tblLayout w:type="fixed"/>
        <w:tblCellMar>
          <w:top w:w="28" w:type="dxa"/>
          <w:left w:w="28" w:type="dxa"/>
          <w:bottom w:w="28" w:type="dxa"/>
          <w:right w:w="28" w:type="dxa"/>
        </w:tblCellMar>
      </w:tblPr>
      <w:tblGrid>
        <w:gridCol w:w="1104"/>
        <w:gridCol w:w="969"/>
        <w:gridCol w:w="972"/>
        <w:gridCol w:w="412"/>
        <w:gridCol w:w="559"/>
        <w:gridCol w:w="214"/>
        <w:gridCol w:w="109"/>
        <w:gridCol w:w="329"/>
        <w:gridCol w:w="329"/>
        <w:gridCol w:w="331"/>
        <w:gridCol w:w="109"/>
        <w:gridCol w:w="374"/>
        <w:gridCol w:w="374"/>
        <w:gridCol w:w="376"/>
        <w:gridCol w:w="109"/>
        <w:gridCol w:w="390"/>
        <w:gridCol w:w="391"/>
        <w:gridCol w:w="213"/>
      </w:tblGrid>
      <w:tr>
        <w:trPr/>
        <w:tc>
          <w:tcPr>
            <w:tcW w:w="110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Global Ceramic</w:t>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Flooring NA</w:t>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Flooring ROW</w:t>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Balance as of December 31, 2025</w:t>
            </w:r>
            <w:r>
              <w:rPr>
                <w:color w:val="000000"/>
              </w:rPr>
              <w:t xml:space="preserve"> </w:t>
            </w:r>
            <w:r>
              <w:rPr>
                <w:rFonts w:ascii="Times New Roman;serif" w:hAnsi="Times New Roman;serif"/>
                <w:b w:val="false"/>
                <w:color w:val="000000"/>
                <w:sz w:val="13"/>
              </w:rPr>
              <w:t>(1)</w:t>
            </w:r>
          </w:p>
        </w:tc>
        <w:tc>
          <w:tcPr>
            <w:tcW w:w="41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5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379.9</w:t>
            </w:r>
            <w:r>
              <w:rPr>
                <w:color w:val="000000"/>
              </w:rPr>
              <w:t> </w:t>
            </w:r>
          </w:p>
        </w:tc>
        <w:tc>
          <w:tcPr>
            <w:tcW w:w="3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830.4</w:t>
            </w:r>
            <w:r>
              <w:rPr>
                <w:color w:val="000000"/>
              </w:rPr>
              <w:t> </w:t>
            </w:r>
          </w:p>
        </w:tc>
        <w:tc>
          <w:tcPr>
            <w:tcW w:w="3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1,210.3</w:t>
            </w:r>
            <w:r>
              <w:rPr>
                <w:color w:val="000000"/>
              </w:rPr>
              <w:t> </w:t>
            </w:r>
          </w:p>
        </w:tc>
        <w:tc>
          <w:tcPr>
            <w:tcW w:w="2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Goodwill recognized </w:t>
            </w:r>
          </w:p>
        </w:tc>
        <w:tc>
          <w:tcPr>
            <w:tcW w:w="9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w:t>
            </w:r>
            <w:r>
              <w:rPr>
                <w:color w:val="000000"/>
              </w:rPr>
              <w:t> </w:t>
            </w:r>
          </w:p>
        </w:tc>
        <w:tc>
          <w:tcPr>
            <w:tcW w:w="3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w:t>
            </w:r>
            <w:r>
              <w:rPr>
                <w:color w:val="000000"/>
              </w:rPr>
              <w:t> </w:t>
            </w:r>
          </w:p>
        </w:tc>
        <w:tc>
          <w:tcPr>
            <w:tcW w:w="2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Currency translation </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(19.3)</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(19.3)</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July 4, 2026</w:t>
            </w:r>
          </w:p>
        </w:tc>
        <w:tc>
          <w:tcPr>
            <w:tcW w:w="412"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5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gridSpan w:val="2"/>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380.0</w:t>
            </w:r>
            <w:r>
              <w:rPr>
                <w:color w:val="000000"/>
              </w:rPr>
              <w:t> </w:t>
            </w:r>
          </w:p>
        </w:tc>
        <w:tc>
          <w:tcPr>
            <w:tcW w:w="33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gridSpan w:val="2"/>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811.1</w:t>
            </w:r>
            <w:r>
              <w:rPr>
                <w:color w:val="000000"/>
              </w:rPr>
              <w:t> </w:t>
            </w:r>
          </w:p>
        </w:tc>
        <w:tc>
          <w:tcPr>
            <w:tcW w:w="37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1,191.1</w:t>
            </w:r>
            <w:r>
              <w:rPr>
                <w:color w:val="000000"/>
              </w:rPr>
              <w:t> </w:t>
            </w:r>
          </w:p>
        </w:tc>
        <w:tc>
          <w:tcPr>
            <w:tcW w:w="213"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6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Net of accumulated impairment losses of $2,886.7 million ($1,644.7 million in Global Ceramic, $557.9 million in Flooring NA and $684.1 million in Flooring ROW).</w:t>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333" w:before="0" w:after="0"/>
        <w:jc w:val="left"/>
        <w:rPr/>
      </w:pPr>
      <w:hyperlink w:anchor="i1643453db6654ca39ea0a46a8e0a40e2_4">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333" w:before="60" w:after="283"/>
        <w:jc w:val="left"/>
        <w:rPr/>
      </w:pPr>
      <w:r>
        <w:rPr>
          <w:rFonts w:ascii="Times New Roman;serif" w:hAnsi="Times New Roman;serif"/>
          <w:b/>
          <w:color w:val="000000"/>
          <w:sz w:val="20"/>
        </w:rPr>
        <w:t>Intangible assets not subject to amortization:</w:t>
      </w:r>
      <w:r>
        <w:rPr>
          <w:color w:val="000000"/>
        </w:rPr>
        <w:t>    </w:t>
      </w:r>
    </w:p>
    <w:tbl>
      <w:tblPr>
        <w:tblW w:w="4453" w:type="dxa"/>
        <w:jc w:val="left"/>
        <w:tblInd w:w="0" w:type="dxa"/>
        <w:tblLayout w:type="fixed"/>
        <w:tblCellMar>
          <w:top w:w="28" w:type="dxa"/>
          <w:left w:w="28" w:type="dxa"/>
          <w:bottom w:w="28" w:type="dxa"/>
          <w:right w:w="28" w:type="dxa"/>
        </w:tblCellMar>
      </w:tblPr>
      <w:tblGrid>
        <w:gridCol w:w="1174"/>
        <w:gridCol w:w="1031"/>
        <w:gridCol w:w="1034"/>
        <w:gridCol w:w="211"/>
        <w:gridCol w:w="631"/>
        <w:gridCol w:w="109"/>
        <w:gridCol w:w="109"/>
        <w:gridCol w:w="154"/>
      </w:tblGrid>
      <w:tr>
        <w:trPr/>
        <w:tc>
          <w:tcPr>
            <w:tcW w:w="117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Tradenames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695.8</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during the period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July 4, 2026</w:t>
            </w:r>
          </w:p>
        </w:tc>
        <w:tc>
          <w:tcPr>
            <w:tcW w:w="21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691.1</w:t>
            </w:r>
            <w:r>
              <w:rPr>
                <w:color w:val="000000"/>
              </w:rPr>
              <w:t>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Intangible assets subject to amortization:</w:t>
      </w:r>
    </w:p>
    <w:tbl>
      <w:tblPr>
        <w:tblW w:w="8251" w:type="dxa"/>
        <w:jc w:val="left"/>
        <w:tblInd w:w="0" w:type="dxa"/>
        <w:tblLayout w:type="fixed"/>
        <w:tblCellMar>
          <w:top w:w="28" w:type="dxa"/>
          <w:left w:w="28" w:type="dxa"/>
          <w:bottom w:w="28" w:type="dxa"/>
          <w:right w:w="28" w:type="dxa"/>
        </w:tblCellMar>
      </w:tblPr>
      <w:tblGrid>
        <w:gridCol w:w="1349"/>
        <w:gridCol w:w="1183"/>
        <w:gridCol w:w="1187"/>
        <w:gridCol w:w="388"/>
        <w:gridCol w:w="1134"/>
        <w:gridCol w:w="202"/>
        <w:gridCol w:w="109"/>
        <w:gridCol w:w="344"/>
        <w:gridCol w:w="346"/>
        <w:gridCol w:w="196"/>
        <w:gridCol w:w="109"/>
        <w:gridCol w:w="262"/>
        <w:gridCol w:w="264"/>
        <w:gridCol w:w="166"/>
        <w:gridCol w:w="109"/>
        <w:gridCol w:w="344"/>
        <w:gridCol w:w="346"/>
        <w:gridCol w:w="213"/>
      </w:tblGrid>
      <w:tr>
        <w:trPr/>
        <w:tc>
          <w:tcPr>
            <w:tcW w:w="134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Customer Relationships</w:t>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Patents</w:t>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Other</w:t>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as of December 31, 2025</w:t>
            </w:r>
          </w:p>
        </w:tc>
        <w:tc>
          <w:tcPr>
            <w:tcW w:w="172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carrying amount</w:t>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acquired</w:t>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(607.2)</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intangible assets subject to amortization</w:t>
            </w:r>
          </w:p>
        </w:tc>
        <w:tc>
          <w:tcPr>
            <w:tcW w:w="152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20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2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July 4, 2026</w:t>
            </w:r>
          </w:p>
        </w:tc>
        <w:tc>
          <w:tcPr>
            <w:tcW w:w="172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carrying amount</w:t>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705.6</w:t>
            </w: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258.7</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974.3</w:t>
            </w: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(611.6)</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(257.9)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(873.0)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intangible assets subject to amortization</w:t>
            </w:r>
          </w:p>
        </w:tc>
        <w:tc>
          <w:tcPr>
            <w:tcW w:w="388"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34"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94.0</w:t>
            </w:r>
            <w:r>
              <w:rPr>
                <w:color w:val="000000"/>
              </w:rPr>
              <w:t> </w:t>
            </w:r>
          </w:p>
        </w:tc>
        <w:tc>
          <w:tcPr>
            <w:tcW w:w="202"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0.8</w:t>
            </w:r>
            <w:r>
              <w:rPr>
                <w:color w:val="000000"/>
              </w:rPr>
              <w:t> </w:t>
            </w:r>
          </w:p>
        </w:tc>
        <w:tc>
          <w:tcPr>
            <w:tcW w:w="19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w:t>
            </w:r>
            <w:r>
              <w:rPr>
                <w:color w:val="000000"/>
              </w:rPr>
              <w:t> </w:t>
            </w:r>
          </w:p>
        </w:tc>
        <w:tc>
          <w:tcPr>
            <w:tcW w:w="16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101.3</w:t>
            </w:r>
            <w:r>
              <w:rPr>
                <w:color w:val="000000"/>
              </w:rPr>
              <w:t> </w:t>
            </w:r>
          </w:p>
        </w:tc>
        <w:tc>
          <w:tcPr>
            <w:tcW w:w="213"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216" w:type="dxa"/>
        <w:jc w:val="left"/>
        <w:tblInd w:w="0" w:type="dxa"/>
        <w:tblLayout w:type="fixed"/>
        <w:tblCellMar>
          <w:top w:w="28" w:type="dxa"/>
          <w:left w:w="28" w:type="dxa"/>
          <w:bottom w:w="28" w:type="dxa"/>
          <w:right w:w="28" w:type="dxa"/>
        </w:tblCellMar>
      </w:tblPr>
      <w:tblGrid>
        <w:gridCol w:w="690"/>
        <w:gridCol w:w="604"/>
        <w:gridCol w:w="610"/>
        <w:gridCol w:w="391"/>
        <w:gridCol w:w="780"/>
        <w:gridCol w:w="202"/>
        <w:gridCol w:w="202"/>
        <w:gridCol w:w="364"/>
        <w:gridCol w:w="364"/>
        <w:gridCol w:w="367"/>
        <w:gridCol w:w="347"/>
        <w:gridCol w:w="347"/>
        <w:gridCol w:w="347"/>
        <w:gridCol w:w="353"/>
        <w:gridCol w:w="109"/>
        <w:gridCol w:w="332"/>
        <w:gridCol w:w="332"/>
        <w:gridCol w:w="475"/>
      </w:tblGrid>
      <w:tr>
        <w:trPr/>
        <w:tc>
          <w:tcPr>
            <w:tcW w:w="690"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394"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r>
          </w:p>
        </w:tc>
        <w:tc>
          <w:tcPr>
            <w:tcW w:w="1248" w:type="dxa"/>
            <w:gridSpan w:val="4"/>
            <w:tcBorders/>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3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July 4, 2026</w:t>
            </w:r>
          </w:p>
        </w:tc>
        <w:tc>
          <w:tcPr>
            <w:tcW w:w="202" w:type="dxa"/>
            <w:tcBorders/>
            <w:vAlign w:val="center"/>
          </w:tcPr>
          <w:p>
            <w:pPr>
              <w:pStyle w:val="TableContents"/>
              <w:bidi w:val="0"/>
              <w:spacing w:before="0" w:after="283"/>
              <w:jc w:val="left"/>
              <w:rPr>
                <w:sz w:val="4"/>
                <w:szCs w:val="4"/>
              </w:rPr>
            </w:pPr>
            <w:r>
              <w:rPr>
                <w:sz w:val="4"/>
                <w:szCs w:val="4"/>
              </w:rPr>
            </w:r>
          </w:p>
        </w:tc>
        <w:tc>
          <w:tcPr>
            <w:tcW w:w="10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June 28, 2025</w:t>
            </w:r>
          </w:p>
        </w:tc>
        <w:tc>
          <w:tcPr>
            <w:tcW w:w="347" w:type="dxa"/>
            <w:tcBorders/>
            <w:vAlign w:val="center"/>
          </w:tcPr>
          <w:p>
            <w:pPr>
              <w:pStyle w:val="TableContents"/>
              <w:bidi w:val="0"/>
              <w:spacing w:before="0" w:after="283"/>
              <w:jc w:val="left"/>
              <w:rPr>
                <w:sz w:val="4"/>
                <w:szCs w:val="4"/>
              </w:rPr>
            </w:pPr>
            <w:r>
              <w:rPr>
                <w:sz w:val="4"/>
                <w:szCs w:val="4"/>
              </w:rPr>
            </w:r>
          </w:p>
        </w:tc>
        <w:tc>
          <w:tcPr>
            <w:tcW w:w="10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July 4, 2026</w:t>
            </w:r>
          </w:p>
        </w:tc>
        <w:tc>
          <w:tcPr>
            <w:tcW w:w="109" w:type="dxa"/>
            <w:tcBorders/>
            <w:vAlign w:val="center"/>
          </w:tcPr>
          <w:p>
            <w:pPr>
              <w:pStyle w:val="TableContents"/>
              <w:bidi w:val="0"/>
              <w:spacing w:before="0" w:after="283"/>
              <w:jc w:val="left"/>
              <w:rPr>
                <w:sz w:val="4"/>
                <w:szCs w:val="4"/>
              </w:rPr>
            </w:pPr>
            <w:r>
              <w:rPr>
                <w:sz w:val="4"/>
                <w:szCs w:val="4"/>
              </w:rPr>
            </w:r>
          </w:p>
        </w:tc>
        <w:tc>
          <w:tcPr>
            <w:tcW w:w="11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June 28, 2025</w:t>
            </w:r>
          </w:p>
        </w:tc>
      </w:tr>
      <w:tr>
        <w:trPr/>
        <w:tc>
          <w:tcPr>
            <w:tcW w:w="1904"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39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0"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w:t>
            </w:r>
            <w:r>
              <w:rPr>
                <w:color w:val="000000"/>
              </w:rPr>
              <w:t> </w:t>
            </w:r>
          </w:p>
        </w:tc>
        <w:tc>
          <w:tcPr>
            <w:tcW w:w="202"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28" w:type="dxa"/>
            <w:gridSpan w:val="2"/>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67"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694" w:type="dxa"/>
            <w:gridSpan w:val="2"/>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w:t>
            </w:r>
            <w:r>
              <w:rPr>
                <w:color w:val="000000"/>
              </w:rPr>
              <w:t> </w:t>
            </w:r>
          </w:p>
        </w:tc>
        <w:tc>
          <w:tcPr>
            <w:tcW w:w="353"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 w:type="dxa"/>
            <w:gridSpan w:val="2"/>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475"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100"/>
        <w:jc w:val="left"/>
        <w:rPr>
          <w:rFonts w:ascii="Times New Roman;serif" w:hAnsi="Times New Roman;serif"/>
          <w:b/>
          <w:color w:val="000000"/>
          <w:sz w:val="20"/>
        </w:rPr>
      </w:pPr>
      <w:r>
        <w:rPr>
          <w:rFonts w:ascii="Times New Roman;serif" w:hAnsi="Times New Roman;serif"/>
          <w:b/>
          <w:color w:val="000000"/>
          <w:sz w:val="20"/>
        </w:rPr>
        <w:t>7. Accounts Payable and Accrued Expenses</w:t>
      </w:r>
    </w:p>
    <w:tbl>
      <w:tblPr>
        <w:tblW w:w="6768" w:type="dxa"/>
        <w:jc w:val="left"/>
        <w:tblInd w:w="0" w:type="dxa"/>
        <w:tblLayout w:type="fixed"/>
        <w:tblCellMar>
          <w:top w:w="28" w:type="dxa"/>
          <w:left w:w="28" w:type="dxa"/>
          <w:bottom w:w="28" w:type="dxa"/>
          <w:right w:w="28" w:type="dxa"/>
        </w:tblCellMar>
      </w:tblPr>
      <w:tblGrid>
        <w:gridCol w:w="1380"/>
        <w:gridCol w:w="1212"/>
        <w:gridCol w:w="1218"/>
        <w:gridCol w:w="211"/>
        <w:gridCol w:w="781"/>
        <w:gridCol w:w="109"/>
        <w:gridCol w:w="109"/>
        <w:gridCol w:w="109"/>
        <w:gridCol w:w="109"/>
        <w:gridCol w:w="447"/>
        <w:gridCol w:w="447"/>
        <w:gridCol w:w="636"/>
      </w:tblGrid>
      <w:tr>
        <w:trPr/>
        <w:tc>
          <w:tcPr>
            <w:tcW w:w="1380"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July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December 31, 2025</w:t>
            </w:r>
          </w:p>
        </w:tc>
      </w:tr>
      <w:tr>
        <w:trPr/>
        <w:tc>
          <w:tcPr>
            <w:tcW w:w="38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checks in excess of cash</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63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trade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1,088.9 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896.7 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warranties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payable and accrued expenses</w:t>
            </w:r>
          </w:p>
        </w:tc>
        <w:tc>
          <w:tcPr>
            <w:tcW w:w="21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2,393.9</w:t>
            </w:r>
            <w:r>
              <w:rPr>
                <w:color w:val="000000"/>
              </w:rPr>
              <w:t>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2,310.4 </w:t>
            </w:r>
          </w:p>
        </w:tc>
        <w:tc>
          <w:tcPr>
            <w:tcW w:w="63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8. Accumulated Other Comprehensive Income (Loss)</w:t>
      </w:r>
    </w:p>
    <w:tbl>
      <w:tblPr>
        <w:tblW w:w="8005" w:type="dxa"/>
        <w:jc w:val="left"/>
        <w:tblInd w:w="0" w:type="dxa"/>
        <w:tblLayout w:type="fixed"/>
        <w:tblCellMar>
          <w:top w:w="28" w:type="dxa"/>
          <w:left w:w="28" w:type="dxa"/>
          <w:bottom w:w="28" w:type="dxa"/>
          <w:right w:w="28" w:type="dxa"/>
        </w:tblCellMar>
      </w:tblPr>
      <w:tblGrid>
        <w:gridCol w:w="1512"/>
        <w:gridCol w:w="1327"/>
        <w:gridCol w:w="1331"/>
        <w:gridCol w:w="278"/>
        <w:gridCol w:w="913"/>
        <w:gridCol w:w="144"/>
        <w:gridCol w:w="109"/>
        <w:gridCol w:w="459"/>
        <w:gridCol w:w="459"/>
        <w:gridCol w:w="461"/>
        <w:gridCol w:w="109"/>
        <w:gridCol w:w="344"/>
        <w:gridCol w:w="346"/>
        <w:gridCol w:w="213"/>
      </w:tblGrid>
      <w:tr>
        <w:trPr/>
        <w:tc>
          <w:tcPr>
            <w:tcW w:w="1512"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Foreign Currency</w:t>
              <w:br/>
              <w:t>Translation</w:t>
              <w:br/>
              <w:t>Adjustment</w:t>
            </w:r>
          </w:p>
        </w:tc>
        <w:tc>
          <w:tcPr>
            <w:tcW w:w="109" w:type="dxa"/>
            <w:tcBorders/>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Prior Pension and</w:t>
              <w:br/>
              <w:t>Post-Retirement</w:t>
              <w:br/>
              <w:t>Benefit Service</w:t>
              <w:br/>
              <w:t>Cost and Actuarial</w:t>
              <w:br/>
              <w:t>Gain (Loss)</w:t>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417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(908.6)</w:t>
            </w:r>
          </w:p>
        </w:tc>
        <w:tc>
          <w:tcPr>
            <w:tcW w:w="109" w:type="dxa"/>
            <w:tcBorders/>
            <w:vAlign w:val="center"/>
          </w:tcPr>
          <w:p>
            <w:pPr>
              <w:pStyle w:val="TableContents"/>
              <w:bidi w:val="0"/>
              <w:spacing w:before="0" w:after="283"/>
              <w:jc w:val="left"/>
              <w:rPr>
                <w:sz w:val="4"/>
                <w:szCs w:val="4"/>
              </w:rPr>
            </w:pPr>
            <w:r>
              <w:rPr>
                <w:sz w:val="4"/>
                <w:szCs w:val="4"/>
              </w:rPr>
            </w:r>
          </w:p>
        </w:tc>
        <w:tc>
          <w:tcPr>
            <w:tcW w:w="91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w:t>
            </w:r>
            <w:r>
              <w:rPr>
                <w:color w:val="000000"/>
              </w:rPr>
              <w:t> </w:t>
            </w:r>
          </w:p>
        </w:tc>
        <w:tc>
          <w:tcPr>
            <w:tcW w:w="4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(907.9)</w:t>
            </w:r>
          </w:p>
        </w:tc>
        <w:tc>
          <w:tcPr>
            <w:tcW w:w="2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period other comprehensive income (loss)</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July 4, 2026</w:t>
            </w:r>
          </w:p>
        </w:tc>
        <w:tc>
          <w:tcPr>
            <w:tcW w:w="278"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3"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(937.8)</w:t>
            </w:r>
          </w:p>
        </w:tc>
        <w:tc>
          <w:tcPr>
            <w:tcW w:w="144"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 w:type="dxa"/>
            <w:gridSpan w:val="2"/>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w:t>
            </w:r>
            <w:r>
              <w:rPr>
                <w:color w:val="000000"/>
              </w:rPr>
              <w:t> </w:t>
            </w:r>
          </w:p>
        </w:tc>
        <w:tc>
          <w:tcPr>
            <w:tcW w:w="46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(937.1)</w:t>
            </w:r>
          </w:p>
        </w:tc>
        <w:tc>
          <w:tcPr>
            <w:tcW w:w="213"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9. Stock-Based Compensation</w:t>
      </w: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recognizes compensation expense for all stock-based payments granted based on the grant-date fair value estimated in accordance with the provisions of ASC 718-10. Compensation expense is recognized on a straight-line basis over the awards’ estimated lives for fixed awards with ratable vesting provisions.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333" w:before="0" w:after="0"/>
        <w:jc w:val="left"/>
        <w:rPr/>
      </w:pPr>
      <w:hyperlink w:anchor="i1643453db6654ca39ea0a46a8e0a40e2_4">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granted 2,449 restricted stock units (“RSUs”) at a weighted average grant-date fair value of $107.74 per unit for the three months ended July 4, 2026. The Company granted 248,485 RSUs at a weighted average grant-date fair value of $123.01 per unit for the six months ended July 4, 2026. The Company granted no RSUs for the three months ended June 28, 2025. The Company granted 304,989 RSUs at a weighted average grant-date fair value of $116.08 per unit for the six months ended June 28, 2025. The Company recognized stock-based compensation expense related to RSUs of $6.7 million ($5.0 million net of taxes) and $7.6 million ($5.6 million net of taxes) for the three months ended July 4, 2026, and June 28, 2025, respectively, which has been allocated to cost of sales and selling, general and administrative expenses. The Company recognized stock-based compensation expense related to RSUs of $14.1 million ($10.4 million net of taxes) and $15.2 million ($11.2 million net of taxes) for the six months ended July 4, 2026, and June 28, 2025, respectively, which has been allocated to cost of sales and selling, general and administrative expenses. Pre-tax unrecognized compensation expense for unvested RSUs granted to employees, net of estimated forfeitures, was $34.7 million as of July 4, 2026, and will be recognized as expense over a weighted average period of approximately 2.1 years.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100"/>
        <w:jc w:val="left"/>
        <w:rPr>
          <w:rFonts w:ascii="Times New Roman;serif" w:hAnsi="Times New Roman;serif"/>
          <w:b/>
          <w:color w:val="000000"/>
          <w:sz w:val="20"/>
        </w:rPr>
      </w:pPr>
      <w:r>
        <w:rPr>
          <w:rFonts w:ascii="Times New Roman;serif" w:hAnsi="Times New Roman;serif"/>
          <w:b/>
          <w:color w:val="000000"/>
          <w:sz w:val="20"/>
        </w:rPr>
        <w:t>10. Other Income and Expense, net</w:t>
      </w:r>
    </w:p>
    <w:tbl>
      <w:tblPr>
        <w:tblW w:w="8820" w:type="dxa"/>
        <w:jc w:val="left"/>
        <w:tblInd w:w="0" w:type="dxa"/>
        <w:tblLayout w:type="fixed"/>
        <w:tblCellMar>
          <w:top w:w="28" w:type="dxa"/>
          <w:left w:w="28" w:type="dxa"/>
          <w:bottom w:w="28" w:type="dxa"/>
          <w:right w:w="28" w:type="dxa"/>
        </w:tblCellMar>
      </w:tblPr>
      <w:tblGrid>
        <w:gridCol w:w="1153"/>
        <w:gridCol w:w="1012"/>
        <w:gridCol w:w="1015"/>
        <w:gridCol w:w="391"/>
        <w:gridCol w:w="780"/>
        <w:gridCol w:w="202"/>
        <w:gridCol w:w="202"/>
        <w:gridCol w:w="364"/>
        <w:gridCol w:w="364"/>
        <w:gridCol w:w="367"/>
        <w:gridCol w:w="109"/>
        <w:gridCol w:w="109"/>
        <w:gridCol w:w="347"/>
        <w:gridCol w:w="347"/>
        <w:gridCol w:w="347"/>
        <w:gridCol w:w="353"/>
        <w:gridCol w:w="109"/>
        <w:gridCol w:w="364"/>
        <w:gridCol w:w="364"/>
        <w:gridCol w:w="367"/>
        <w:gridCol w:w="154"/>
      </w:tblGrid>
      <w:tr>
        <w:trPr/>
        <w:tc>
          <w:tcPr>
            <w:tcW w:w="115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249" w:type="dxa"/>
            <w:gridSpan w:val="4"/>
            <w:tcBorders/>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3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July 4, 2026</w:t>
            </w:r>
          </w:p>
        </w:tc>
        <w:tc>
          <w:tcPr>
            <w:tcW w:w="202" w:type="dxa"/>
            <w:tcBorders/>
            <w:vAlign w:val="center"/>
          </w:tcPr>
          <w:p>
            <w:pPr>
              <w:pStyle w:val="TableContents"/>
              <w:bidi w:val="0"/>
              <w:spacing w:before="0" w:after="283"/>
              <w:jc w:val="left"/>
              <w:rPr>
                <w:sz w:val="4"/>
                <w:szCs w:val="4"/>
              </w:rPr>
            </w:pPr>
            <w:r>
              <w:rPr>
                <w:sz w:val="4"/>
                <w:szCs w:val="4"/>
              </w:rPr>
            </w:r>
          </w:p>
        </w:tc>
        <w:tc>
          <w:tcPr>
            <w:tcW w:w="10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June 28,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July 4, 2026</w:t>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June 28,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(gains) losses, net</w:t>
            </w:r>
          </w:p>
        </w:tc>
        <w:tc>
          <w:tcPr>
            <w:tcW w:w="3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w:t>
            </w:r>
            <w:r>
              <w:rPr>
                <w:color w:val="000000"/>
              </w:rPr>
              <w:t> </w:t>
            </w:r>
          </w:p>
        </w:tc>
        <w:tc>
          <w:tcPr>
            <w:tcW w:w="20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2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6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69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w:t>
            </w:r>
            <w:r>
              <w:rPr>
                <w:color w:val="000000"/>
              </w:rPr>
              <w:t> </w:t>
            </w:r>
          </w:p>
        </w:tc>
        <w:tc>
          <w:tcPr>
            <w:tcW w:w="35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6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net</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and expense, net</w:t>
            </w:r>
          </w:p>
        </w:tc>
        <w:tc>
          <w:tcPr>
            <w:tcW w:w="3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0.4</w:t>
            </w:r>
            <w:r>
              <w:rPr>
                <w:color w:val="000000"/>
              </w:rPr>
              <w:t> </w:t>
            </w:r>
          </w:p>
        </w:tc>
        <w:tc>
          <w:tcPr>
            <w:tcW w:w="20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w:t>
            </w:r>
            <w:r>
              <w:rPr>
                <w:color w:val="000000"/>
              </w:rPr>
              <w:t> </w:t>
            </w:r>
          </w:p>
        </w:tc>
        <w:tc>
          <w:tcPr>
            <w:tcW w:w="3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before="0" w:after="0"/>
        <w:jc w:val="left"/>
        <w:rPr/>
      </w:pPr>
      <w:r>
        <w:rPr/>
      </w:r>
    </w:p>
    <w:p>
      <w:pPr>
        <w:pStyle w:val="TextBody"/>
        <w:bidi w:val="0"/>
        <w:spacing w:lineRule="auto" w:line="312"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July 4, 2026, the Company recorded income tax expense of $52.3 million on earnings before income taxes of $248.5 million for an effective tax rate of 21.0%. For the three months ended June 28, 2025, the Company recorded income tax expense of $34.0 million on earnings before income taxes of $180.5 million, for an effective tax rate of 18.8%. The increase in the effective tax rate was primarily attributable to the Company’s geographic dispersion of profits and losses for the respective periods and a non-recurring benefit recorded during the three months ended June 28, 2025, related to a prior period Italian tax benefit. These unfavorable impacts were partially offset by a smaller increase in unrecognized tax benefits during the three months ended July 4, 2026.</w:t>
      </w:r>
    </w:p>
    <w:p>
      <w:pPr>
        <w:pStyle w:val="TextBody"/>
        <w:bidi w:val="0"/>
        <w:spacing w:before="0" w:after="0"/>
        <w:jc w:val="left"/>
        <w:rPr/>
      </w:pPr>
      <w:r>
        <w:rPr/>
      </w:r>
    </w:p>
    <w:p>
      <w:pPr>
        <w:pStyle w:val="TextBody"/>
        <w:bidi w:val="0"/>
        <w:spacing w:lineRule="auto" w:line="312"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July 4, 2026, the Company recorded income tax expense of $43.4 million on earnings before income taxes of $356.7 million for an effective tax rate of 12.2%. For the six months ended June 28, 2025, the Company recorded income tax expense of $51.5 million on earnings before income taxes of $270.5 million for an effective tax rate of 19.0%. The decrease in the effective tax rate was primarily attributable to a smaller increase in unrecognized tax benefits during the three months ended July 4, 2026, and tax benefits recognized during the six months ended July 4, 2026, including (i) a one-time tax benefit associated with a legal entity restructuring initiative, (ii) tax credits issued by the Brazilian government related to prior years, and (iii) a foreign tax credit benefit recorded in connection with a U.S. amended return. These favorable impacts were partially offset by the Company’s geographic dispersion of profits and losses for the respective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333" w:before="0" w:after="0"/>
        <w:jc w:val="left"/>
        <w:rPr/>
      </w:pPr>
      <w:hyperlink w:anchor="i1643453db6654ca39ea0a46a8e0a40e2_4">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12. Stockholders’ Equity</w:t>
      </w:r>
    </w:p>
    <w:p>
      <w:pPr>
        <w:pStyle w:val="TextBody"/>
        <w:bidi w:val="0"/>
        <w:spacing w:before="0" w:after="0"/>
        <w:jc w:val="left"/>
        <w:rPr/>
      </w:pPr>
      <w:r>
        <w:rPr/>
      </w:r>
    </w:p>
    <w:p>
      <w:pPr>
        <w:pStyle w:val="TextBody"/>
        <w:bidi w:val="0"/>
        <w:spacing w:lineRule="auto" w:line="333" w:before="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reflect the changes in stockholders’ equity for the three months ended July 4, 2026, and June 28,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37"/>
        <w:gridCol w:w="767"/>
        <w:gridCol w:w="770"/>
        <w:gridCol w:w="210"/>
        <w:gridCol w:w="211"/>
        <w:gridCol w:w="161"/>
        <w:gridCol w:w="182"/>
        <w:gridCol w:w="348"/>
        <w:gridCol w:w="109"/>
        <w:gridCol w:w="181"/>
        <w:gridCol w:w="601"/>
        <w:gridCol w:w="109"/>
        <w:gridCol w:w="181"/>
        <w:gridCol w:w="601"/>
        <w:gridCol w:w="109"/>
        <w:gridCol w:w="237"/>
        <w:gridCol w:w="632"/>
        <w:gridCol w:w="144"/>
        <w:gridCol w:w="171"/>
        <w:gridCol w:w="172"/>
        <w:gridCol w:w="161"/>
        <w:gridCol w:w="181"/>
        <w:gridCol w:w="493"/>
        <w:gridCol w:w="109"/>
        <w:gridCol w:w="327"/>
        <w:gridCol w:w="627"/>
        <w:gridCol w:w="198"/>
        <w:gridCol w:w="186"/>
        <w:gridCol w:w="622"/>
        <w:gridCol w:w="168"/>
      </w:tblGrid>
      <w:tr>
        <w:trPr/>
        <w:tc>
          <w:tcPr>
            <w:tcW w:w="123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Total Stockholders' Equity</w:t>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Common Stock</w:t>
            </w:r>
          </w:p>
        </w:tc>
        <w:tc>
          <w:tcPr>
            <w:tcW w:w="891"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xml:space="preserve">Additional </w:t>
              <w:br/>
              <w:t xml:space="preserve">Paid-in </w:t>
              <w:br/>
              <w:t>Capital</w:t>
            </w:r>
          </w:p>
        </w:tc>
        <w:tc>
          <w:tcPr>
            <w:tcW w:w="891"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xml:space="preserve">Retained </w:t>
              <w:br/>
              <w:t>Earnings</w:t>
            </w:r>
          </w:p>
        </w:tc>
        <w:tc>
          <w:tcPr>
            <w:tcW w:w="1013"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xml:space="preserve">Accumulated </w:t>
              <w:br/>
              <w:t xml:space="preserve">Other </w:t>
              <w:br/>
              <w:t xml:space="preserve">Comprehensive </w:t>
              <w:br/>
              <w:t>Income (Loss)</w:t>
            </w:r>
          </w:p>
        </w:tc>
        <w:tc>
          <w:tcPr>
            <w:tcW w:w="1287"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Treasury Stock</w:t>
            </w:r>
          </w:p>
        </w:tc>
        <w:tc>
          <w:tcPr>
            <w:tcW w:w="1152"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Noncontrolling Interests</w:t>
            </w:r>
          </w:p>
        </w:tc>
        <w:tc>
          <w:tcPr>
            <w:tcW w:w="976"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 xml:space="preserve">Total </w:t>
              <w:br/>
              <w:t xml:space="preserve">Stockholders’ </w:t>
              <w:br/>
              <w:t>Equity</w:t>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5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Shares</w:t>
            </w:r>
          </w:p>
        </w:tc>
        <w:tc>
          <w:tcPr>
            <w:tcW w:w="6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Amount</w:t>
            </w:r>
          </w:p>
        </w:tc>
        <w:tc>
          <w:tcPr>
            <w:tcW w:w="891"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891"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1013"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5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Shares</w:t>
            </w:r>
          </w:p>
        </w:tc>
        <w:tc>
          <w:tcPr>
            <w:tcW w:w="78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Amount</w:t>
            </w:r>
          </w:p>
        </w:tc>
        <w:tc>
          <w:tcPr>
            <w:tcW w:w="1152"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976"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r>
      <w:tr>
        <w:trPr/>
        <w:tc>
          <w:tcPr>
            <w:tcW w:w="277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as of April 04, 2026</w:t>
            </w:r>
          </w:p>
        </w:tc>
        <w:tc>
          <w:tcPr>
            <w:tcW w:w="4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68.4</w:t>
            </w:r>
            <w:r>
              <w:rPr>
                <w:color w:val="000000"/>
              </w:rPr>
              <w:t> </w:t>
            </w:r>
          </w:p>
        </w:tc>
        <w:tc>
          <w:tcPr>
            <w:tcW w:w="1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3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0.7</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1,993.7</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7,555.6</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(959.3)</w:t>
            </w:r>
          </w:p>
        </w:tc>
        <w:tc>
          <w:tcPr>
            <w:tcW w:w="14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(7.3)</w:t>
            </w:r>
          </w:p>
        </w:tc>
        <w:tc>
          <w:tcPr>
            <w:tcW w:w="1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(215.1)</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2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4.1</w:t>
            </w:r>
            <w:r>
              <w:rPr>
                <w:color w:val="000000"/>
              </w:rPr>
              <w:t> </w:t>
            </w:r>
          </w:p>
        </w:tc>
        <w:tc>
          <w:tcPr>
            <w:tcW w:w="19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8,379.7</w:t>
            </w:r>
            <w:r>
              <w:rPr>
                <w:color w:val="000000"/>
              </w:rPr>
              <w:t> </w:t>
            </w:r>
          </w:p>
        </w:tc>
        <w:tc>
          <w:tcPr>
            <w:tcW w:w="16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Shares issued under employee and director stock plans, net of shares withheld to pay taxes on employees’ equity awards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0.1</w:t>
            </w: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expense</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6.7</w:t>
            </w: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Repurchases of common stock</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(0.6)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(60.0)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earnings attributable to noncontrolling interests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(0.1)</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(0.1)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Currency translation adjustment on noncontrolling interests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De-consolidation of noncontrolling interest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Currency translation adjustment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22.2</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22.2</w:t>
            </w: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Prior pension and post-retirement benefit service cost and actuarial loss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earnings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196.1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196.1</w:t>
            </w: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as of July 04, 2026</w:t>
            </w:r>
          </w:p>
        </w:tc>
        <w:tc>
          <w:tcPr>
            <w:tcW w:w="58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67.8</w:t>
            </w:r>
          </w:p>
        </w:tc>
        <w:tc>
          <w:tcPr>
            <w:tcW w:w="1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3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0.7</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2,000.4</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7,691.7</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(937.1)</w:t>
            </w:r>
          </w:p>
        </w:tc>
        <w:tc>
          <w:tcPr>
            <w:tcW w:w="1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3"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(7.3)</w:t>
            </w:r>
          </w:p>
        </w:tc>
        <w:tc>
          <w:tcPr>
            <w:tcW w:w="1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(215.0)</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4.0</w:t>
            </w:r>
            <w:r>
              <w:rPr>
                <w:color w:val="000000"/>
              </w:rPr>
              <w:t> </w:t>
            </w:r>
          </w:p>
        </w:tc>
        <w:tc>
          <w:tcPr>
            <w:tcW w:w="1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8,544.7</w:t>
            </w:r>
            <w:r>
              <w:rPr>
                <w:color w:val="000000"/>
              </w:rPr>
              <w:t> </w:t>
            </w:r>
          </w:p>
        </w:tc>
        <w:tc>
          <w:tcPr>
            <w:tcW w:w="1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69"/>
        <w:gridCol w:w="802"/>
        <w:gridCol w:w="805"/>
        <w:gridCol w:w="195"/>
        <w:gridCol w:w="196"/>
        <w:gridCol w:w="161"/>
        <w:gridCol w:w="184"/>
        <w:gridCol w:w="321"/>
        <w:gridCol w:w="110"/>
        <w:gridCol w:w="181"/>
        <w:gridCol w:w="571"/>
        <w:gridCol w:w="109"/>
        <w:gridCol w:w="181"/>
        <w:gridCol w:w="571"/>
        <w:gridCol w:w="109"/>
        <w:gridCol w:w="208"/>
        <w:gridCol w:w="677"/>
        <w:gridCol w:w="127"/>
        <w:gridCol w:w="171"/>
        <w:gridCol w:w="172"/>
        <w:gridCol w:w="161"/>
        <w:gridCol w:w="181"/>
        <w:gridCol w:w="494"/>
        <w:gridCol w:w="109"/>
        <w:gridCol w:w="346"/>
        <w:gridCol w:w="605"/>
        <w:gridCol w:w="210"/>
        <w:gridCol w:w="192"/>
        <w:gridCol w:w="610"/>
        <w:gridCol w:w="177"/>
      </w:tblGrid>
      <w:tr>
        <w:trPr/>
        <w:tc>
          <w:tcPr>
            <w:tcW w:w="126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Total Stockholders’ Equity</w:t>
            </w:r>
          </w:p>
        </w:tc>
      </w:tr>
      <w:tr>
        <w:trPr/>
        <w:tc>
          <w:tcPr>
            <w:tcW w:w="2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Common Stock</w:t>
            </w:r>
          </w:p>
        </w:tc>
        <w:tc>
          <w:tcPr>
            <w:tcW w:w="861"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 xml:space="preserve">Additional </w:t>
              <w:br/>
              <w:t xml:space="preserve">Paid-in </w:t>
              <w:br/>
              <w:t>Capital</w:t>
            </w:r>
          </w:p>
        </w:tc>
        <w:tc>
          <w:tcPr>
            <w:tcW w:w="861"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 xml:space="preserve">Retained </w:t>
              <w:br/>
              <w:t>Earnings</w:t>
            </w:r>
          </w:p>
        </w:tc>
        <w:tc>
          <w:tcPr>
            <w:tcW w:w="1012"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xml:space="preserve">Accumulated </w:t>
              <w:br/>
              <w:t xml:space="preserve">Other </w:t>
              <w:br/>
              <w:t xml:space="preserve">Comprehensive </w:t>
              <w:br/>
              <w:t>Income (Loss)</w:t>
            </w:r>
          </w:p>
        </w:tc>
        <w:tc>
          <w:tcPr>
            <w:tcW w:w="1288"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Treasury Stock</w:t>
            </w:r>
          </w:p>
        </w:tc>
        <w:tc>
          <w:tcPr>
            <w:tcW w:w="1161"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Noncontrolling Interests</w:t>
            </w:r>
          </w:p>
        </w:tc>
        <w:tc>
          <w:tcPr>
            <w:tcW w:w="979"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 xml:space="preserve">Total </w:t>
              <w:br/>
              <w:t xml:space="preserve">Stockholders’ </w:t>
              <w:br/>
              <w:t>Equity</w:t>
            </w:r>
          </w:p>
        </w:tc>
      </w:tr>
      <w:tr>
        <w:trPr/>
        <w:tc>
          <w:tcPr>
            <w:tcW w:w="2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5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Shares</w:t>
            </w:r>
          </w:p>
        </w:tc>
        <w:tc>
          <w:tcPr>
            <w:tcW w:w="6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Amount</w:t>
            </w:r>
          </w:p>
        </w:tc>
        <w:tc>
          <w:tcPr>
            <w:tcW w:w="861"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861"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1012"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5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Shares</w:t>
            </w:r>
          </w:p>
        </w:tc>
        <w:tc>
          <w:tcPr>
            <w:tcW w:w="7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Amount</w:t>
            </w:r>
          </w:p>
        </w:tc>
        <w:tc>
          <w:tcPr>
            <w:tcW w:w="1161"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979"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r>
      <w:tr>
        <w:trPr/>
        <w:tc>
          <w:tcPr>
            <w:tcW w:w="287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as of March 29, 2025</w:t>
            </w:r>
          </w:p>
        </w:tc>
        <w:tc>
          <w:tcPr>
            <w:tcW w:w="39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69.8 </w:t>
            </w:r>
          </w:p>
        </w:tc>
        <w:tc>
          <w:tcPr>
            <w:tcW w:w="1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0.7 </w:t>
            </w:r>
          </w:p>
        </w:tc>
        <w:tc>
          <w:tcPr>
            <w:tcW w:w="1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1,971.2 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7,372.2 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(1,272.8)</w:t>
            </w:r>
          </w:p>
        </w:tc>
        <w:tc>
          <w:tcPr>
            <w:tcW w:w="1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w:t>
            </w:r>
          </w:p>
        </w:tc>
        <w:tc>
          <w:tcPr>
            <w:tcW w:w="1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(215.2)</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5.8 </w:t>
            </w:r>
          </w:p>
        </w:tc>
        <w:tc>
          <w:tcPr>
            <w:tcW w:w="2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7,861.9 </w:t>
            </w:r>
          </w:p>
        </w:tc>
        <w:tc>
          <w:tcPr>
            <w:tcW w:w="17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Shares issued under employee and director stock plans, net of shares withheld to pay taxes on employees’ equity awards</w:t>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expense</w:t>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6"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2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Repurchases of common stock</w:t>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6"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2876"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2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earnings attributable to noncontrolling interests</w:t>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Currency translation adjustment on noncontrolling interests</w:t>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De-consolidation of noncontrolling interests</w:t>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(0.6)</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(0.6)</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6"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2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Currency translation adjustment</w:t>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325.2 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325.2 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Prior pension and post-retirement benefit service cost and actuarial gain</w:t>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6"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2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earnings</w:t>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146.5 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as of June 28, 2025</w:t>
            </w:r>
          </w:p>
        </w:tc>
        <w:tc>
          <w:tcPr>
            <w:tcW w:w="55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69.5</w:t>
            </w:r>
          </w:p>
        </w:tc>
        <w:tc>
          <w:tcPr>
            <w:tcW w:w="18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0.7 </w:t>
            </w:r>
          </w:p>
        </w:tc>
        <w:tc>
          <w:tcPr>
            <w:tcW w:w="1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1,978.1 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7,476.1 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(947.6)</w:t>
            </w:r>
          </w:p>
        </w:tc>
        <w:tc>
          <w:tcPr>
            <w:tcW w:w="1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3"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w:t>
            </w:r>
          </w:p>
        </w:tc>
        <w:tc>
          <w:tcPr>
            <w:tcW w:w="1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(215.2)</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5.5 </w:t>
            </w:r>
          </w:p>
        </w:tc>
        <w:tc>
          <w:tcPr>
            <w:tcW w:w="2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8,297.6 </w:t>
            </w:r>
          </w:p>
        </w:tc>
        <w:tc>
          <w:tcPr>
            <w:tcW w:w="1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333" w:before="0" w:after="0"/>
        <w:jc w:val="left"/>
        <w:rPr/>
      </w:pPr>
      <w:hyperlink w:anchor="i1643453db6654ca39ea0a46a8e0a40e2_4">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333" w:before="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reflect the changes in stockholders’ equity for the six months ended July 4, 2026, and June 28, 2025:</w:t>
      </w:r>
    </w:p>
    <w:tbl>
      <w:tblPr>
        <w:tblW w:w="10205" w:type="dxa"/>
        <w:jc w:val="left"/>
        <w:tblInd w:w="0" w:type="dxa"/>
        <w:tblLayout w:type="fixed"/>
        <w:tblCellMar>
          <w:top w:w="28" w:type="dxa"/>
          <w:left w:w="28" w:type="dxa"/>
          <w:bottom w:w="28" w:type="dxa"/>
          <w:right w:w="28" w:type="dxa"/>
        </w:tblCellMar>
      </w:tblPr>
      <w:tblGrid>
        <w:gridCol w:w="1238"/>
        <w:gridCol w:w="766"/>
        <w:gridCol w:w="770"/>
        <w:gridCol w:w="210"/>
        <w:gridCol w:w="211"/>
        <w:gridCol w:w="161"/>
        <w:gridCol w:w="182"/>
        <w:gridCol w:w="348"/>
        <w:gridCol w:w="109"/>
        <w:gridCol w:w="181"/>
        <w:gridCol w:w="601"/>
        <w:gridCol w:w="109"/>
        <w:gridCol w:w="181"/>
        <w:gridCol w:w="601"/>
        <w:gridCol w:w="109"/>
        <w:gridCol w:w="237"/>
        <w:gridCol w:w="632"/>
        <w:gridCol w:w="144"/>
        <w:gridCol w:w="171"/>
        <w:gridCol w:w="172"/>
        <w:gridCol w:w="161"/>
        <w:gridCol w:w="181"/>
        <w:gridCol w:w="493"/>
        <w:gridCol w:w="109"/>
        <w:gridCol w:w="327"/>
        <w:gridCol w:w="627"/>
        <w:gridCol w:w="198"/>
        <w:gridCol w:w="186"/>
        <w:gridCol w:w="622"/>
        <w:gridCol w:w="168"/>
      </w:tblGrid>
      <w:tr>
        <w:trPr/>
        <w:tc>
          <w:tcPr>
            <w:tcW w:w="1238"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Total Stockholders' Equity</w:t>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Common Stock</w:t>
            </w:r>
          </w:p>
        </w:tc>
        <w:tc>
          <w:tcPr>
            <w:tcW w:w="891"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xml:space="preserve">Additional </w:t>
              <w:br/>
              <w:t xml:space="preserve">Paid-in </w:t>
              <w:br/>
              <w:t>Capital</w:t>
            </w:r>
          </w:p>
        </w:tc>
        <w:tc>
          <w:tcPr>
            <w:tcW w:w="891"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xml:space="preserve">Retained </w:t>
              <w:br/>
              <w:t>Earnings</w:t>
            </w:r>
          </w:p>
        </w:tc>
        <w:tc>
          <w:tcPr>
            <w:tcW w:w="1013"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xml:space="preserve">Accumulated </w:t>
              <w:br/>
              <w:t xml:space="preserve">Other </w:t>
              <w:br/>
              <w:t xml:space="preserve">Comprehensive </w:t>
              <w:br/>
              <w:t>Income (Loss)</w:t>
            </w:r>
          </w:p>
        </w:tc>
        <w:tc>
          <w:tcPr>
            <w:tcW w:w="1287"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Treasury Stock</w:t>
            </w:r>
          </w:p>
        </w:tc>
        <w:tc>
          <w:tcPr>
            <w:tcW w:w="1152"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Noncontrolling Interests</w:t>
            </w:r>
          </w:p>
        </w:tc>
        <w:tc>
          <w:tcPr>
            <w:tcW w:w="976"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 xml:space="preserve">Total </w:t>
              <w:br/>
              <w:t xml:space="preserve">Stockholders’ </w:t>
              <w:br/>
              <w:t>Equity</w:t>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5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Shares</w:t>
            </w:r>
          </w:p>
        </w:tc>
        <w:tc>
          <w:tcPr>
            <w:tcW w:w="6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Amount</w:t>
            </w:r>
          </w:p>
        </w:tc>
        <w:tc>
          <w:tcPr>
            <w:tcW w:w="891"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891"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1013"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5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Shares</w:t>
            </w:r>
          </w:p>
        </w:tc>
        <w:tc>
          <w:tcPr>
            <w:tcW w:w="78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Amount</w:t>
            </w:r>
          </w:p>
        </w:tc>
        <w:tc>
          <w:tcPr>
            <w:tcW w:w="1152"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976"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r>
      <w:tr>
        <w:trPr/>
        <w:tc>
          <w:tcPr>
            <w:tcW w:w="277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as of December 31, 2025</w:t>
            </w:r>
          </w:p>
        </w:tc>
        <w:tc>
          <w:tcPr>
            <w:tcW w:w="4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68.8</w:t>
            </w:r>
            <w:r>
              <w:rPr>
                <w:color w:val="000000"/>
              </w:rPr>
              <w:t> </w:t>
            </w:r>
          </w:p>
        </w:tc>
        <w:tc>
          <w:tcPr>
            <w:tcW w:w="1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3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0.7</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1,992.6</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7,503.1</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(907.9)</w:t>
            </w:r>
          </w:p>
        </w:tc>
        <w:tc>
          <w:tcPr>
            <w:tcW w:w="14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(7.3)</w:t>
            </w:r>
          </w:p>
        </w:tc>
        <w:tc>
          <w:tcPr>
            <w:tcW w:w="1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(215.2)</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2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5.4</w:t>
            </w:r>
            <w:r>
              <w:rPr>
                <w:color w:val="000000"/>
              </w:rPr>
              <w:t> </w:t>
            </w:r>
          </w:p>
        </w:tc>
        <w:tc>
          <w:tcPr>
            <w:tcW w:w="19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8,378.7</w:t>
            </w:r>
            <w:r>
              <w:rPr>
                <w:color w:val="000000"/>
              </w:rPr>
              <w:t> </w:t>
            </w:r>
          </w:p>
        </w:tc>
        <w:tc>
          <w:tcPr>
            <w:tcW w:w="16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Shares issued under employee and director stock plans, net of shares withheld to pay taxes on employees’ equity awards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0.2</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(6.1)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expense</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14.1</w:t>
            </w: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Repurchases of common stock</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(1.2)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(124.6)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(124.6)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earnings attributable to noncontrolling interests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(0.1)</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(0.1)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Currency translation adjustment on noncontrolling interests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(1.3)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(1.3)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De-consolidation of noncontrolling interest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Currency translation adjustment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(29.2)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(29.2)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Prior pension and post-retirement benefit service cost and actuarial loss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earnings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313.2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313.2</w:t>
            </w: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as of July 04, 2026</w:t>
            </w:r>
          </w:p>
        </w:tc>
        <w:tc>
          <w:tcPr>
            <w:tcW w:w="58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67.8</w:t>
            </w:r>
          </w:p>
        </w:tc>
        <w:tc>
          <w:tcPr>
            <w:tcW w:w="1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3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0.7</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2,000.4</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7,691.7</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(937.1)</w:t>
            </w:r>
          </w:p>
        </w:tc>
        <w:tc>
          <w:tcPr>
            <w:tcW w:w="1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3"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(7.3)</w:t>
            </w:r>
          </w:p>
        </w:tc>
        <w:tc>
          <w:tcPr>
            <w:tcW w:w="1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(215.0)</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4.0</w:t>
            </w:r>
            <w:r>
              <w:rPr>
                <w:color w:val="000000"/>
              </w:rPr>
              <w:t> </w:t>
            </w:r>
          </w:p>
        </w:tc>
        <w:tc>
          <w:tcPr>
            <w:tcW w:w="1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8,544.7</w:t>
            </w:r>
            <w:r>
              <w:rPr>
                <w:color w:val="000000"/>
              </w:rPr>
              <w:t> </w:t>
            </w:r>
          </w:p>
        </w:tc>
        <w:tc>
          <w:tcPr>
            <w:tcW w:w="1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69"/>
        <w:gridCol w:w="802"/>
        <w:gridCol w:w="806"/>
        <w:gridCol w:w="195"/>
        <w:gridCol w:w="196"/>
        <w:gridCol w:w="161"/>
        <w:gridCol w:w="184"/>
        <w:gridCol w:w="321"/>
        <w:gridCol w:w="110"/>
        <w:gridCol w:w="181"/>
        <w:gridCol w:w="571"/>
        <w:gridCol w:w="109"/>
        <w:gridCol w:w="181"/>
        <w:gridCol w:w="571"/>
        <w:gridCol w:w="109"/>
        <w:gridCol w:w="208"/>
        <w:gridCol w:w="677"/>
        <w:gridCol w:w="127"/>
        <w:gridCol w:w="171"/>
        <w:gridCol w:w="172"/>
        <w:gridCol w:w="161"/>
        <w:gridCol w:w="181"/>
        <w:gridCol w:w="494"/>
        <w:gridCol w:w="109"/>
        <w:gridCol w:w="346"/>
        <w:gridCol w:w="605"/>
        <w:gridCol w:w="210"/>
        <w:gridCol w:w="192"/>
        <w:gridCol w:w="610"/>
        <w:gridCol w:w="176"/>
      </w:tblGrid>
      <w:tr>
        <w:trPr/>
        <w:tc>
          <w:tcPr>
            <w:tcW w:w="126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Total Stockholders' Equity</w:t>
            </w:r>
          </w:p>
        </w:tc>
      </w:tr>
      <w:tr>
        <w:trPr/>
        <w:tc>
          <w:tcPr>
            <w:tcW w:w="2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Common Stock</w:t>
            </w:r>
          </w:p>
        </w:tc>
        <w:tc>
          <w:tcPr>
            <w:tcW w:w="861"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xml:space="preserve">Additional </w:t>
              <w:br/>
              <w:t xml:space="preserve">Paid-in </w:t>
              <w:br/>
              <w:t>Capital</w:t>
            </w:r>
          </w:p>
        </w:tc>
        <w:tc>
          <w:tcPr>
            <w:tcW w:w="861"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xml:space="preserve">Retained </w:t>
              <w:br/>
              <w:t>Earnings</w:t>
            </w:r>
          </w:p>
        </w:tc>
        <w:tc>
          <w:tcPr>
            <w:tcW w:w="1012"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 xml:space="preserve">Accumulated </w:t>
              <w:br/>
              <w:t xml:space="preserve">Other </w:t>
              <w:br/>
              <w:t xml:space="preserve">Comprehensive </w:t>
              <w:br/>
              <w:t>Income (Loss)</w:t>
            </w:r>
          </w:p>
        </w:tc>
        <w:tc>
          <w:tcPr>
            <w:tcW w:w="1288"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Treasury Stock</w:t>
            </w:r>
          </w:p>
        </w:tc>
        <w:tc>
          <w:tcPr>
            <w:tcW w:w="1161"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Noncontrolling Interests</w:t>
            </w:r>
          </w:p>
        </w:tc>
        <w:tc>
          <w:tcPr>
            <w:tcW w:w="978"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 xml:space="preserve">Total </w:t>
              <w:br/>
              <w:t xml:space="preserve">Stockholders’ </w:t>
              <w:br/>
              <w:t>Equity</w:t>
            </w:r>
          </w:p>
        </w:tc>
      </w:tr>
      <w:tr>
        <w:trPr/>
        <w:tc>
          <w:tcPr>
            <w:tcW w:w="28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5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Shares</w:t>
            </w:r>
          </w:p>
        </w:tc>
        <w:tc>
          <w:tcPr>
            <w:tcW w:w="6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Amount</w:t>
            </w:r>
          </w:p>
        </w:tc>
        <w:tc>
          <w:tcPr>
            <w:tcW w:w="861"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861"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1012"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5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Shares</w:t>
            </w:r>
          </w:p>
        </w:tc>
        <w:tc>
          <w:tcPr>
            <w:tcW w:w="7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Amount</w:t>
            </w:r>
          </w:p>
        </w:tc>
        <w:tc>
          <w:tcPr>
            <w:tcW w:w="1161"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978"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r>
      <w:tr>
        <w:trPr/>
        <w:tc>
          <w:tcPr>
            <w:tcW w:w="287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as of December 31, 2024</w:t>
            </w:r>
          </w:p>
        </w:tc>
        <w:tc>
          <w:tcPr>
            <w:tcW w:w="39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69.9 </w:t>
            </w:r>
          </w:p>
        </w:tc>
        <w:tc>
          <w:tcPr>
            <w:tcW w:w="1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0.7 </w:t>
            </w:r>
          </w:p>
        </w:tc>
        <w:tc>
          <w:tcPr>
            <w:tcW w:w="1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1,968.8 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7,325.1 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(1,527.9)</w:t>
            </w:r>
          </w:p>
        </w:tc>
        <w:tc>
          <w:tcPr>
            <w:tcW w:w="1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w:t>
            </w:r>
          </w:p>
        </w:tc>
        <w:tc>
          <w:tcPr>
            <w:tcW w:w="1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(215.3)</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5.5 </w:t>
            </w:r>
          </w:p>
        </w:tc>
        <w:tc>
          <w:tcPr>
            <w:tcW w:w="2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7,556.9 </w:t>
            </w:r>
          </w:p>
        </w:tc>
        <w:tc>
          <w:tcPr>
            <w:tcW w:w="1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Shares issued under employee and director stock plans, net of shares withheld to pay taxes on employees’ equity awards</w:t>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expense</w:t>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2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Repurchases of common stock</w:t>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287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earnings attributable to noncontrolling interests</w:t>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Currency translation adjustment on noncontrolling interests</w:t>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De-consolidation of noncontrolling interests</w:t>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(0.6)</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2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Currency translation adjustment</w:t>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580.3 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580.3 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Prior pension and post-retirement benefit service cost and actuarial gain</w:t>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7"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2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earnings</w:t>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219.0 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as of June 28, 2025</w:t>
            </w:r>
          </w:p>
        </w:tc>
        <w:tc>
          <w:tcPr>
            <w:tcW w:w="55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69.5</w:t>
            </w:r>
          </w:p>
        </w:tc>
        <w:tc>
          <w:tcPr>
            <w:tcW w:w="18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0.7 </w:t>
            </w:r>
          </w:p>
        </w:tc>
        <w:tc>
          <w:tcPr>
            <w:tcW w:w="1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1,978.1 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7,476.1 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(947.6)</w:t>
            </w:r>
          </w:p>
        </w:tc>
        <w:tc>
          <w:tcPr>
            <w:tcW w:w="1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3"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w:t>
            </w:r>
          </w:p>
        </w:tc>
        <w:tc>
          <w:tcPr>
            <w:tcW w:w="1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(215.2)</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5.5 </w:t>
            </w:r>
          </w:p>
        </w:tc>
        <w:tc>
          <w:tcPr>
            <w:tcW w:w="2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8,297.6 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333" w:before="0" w:after="0"/>
        <w:jc w:val="left"/>
        <w:rPr/>
      </w:pPr>
      <w:hyperlink w:anchor="i1643453db6654ca39ea0a46a8e0a40e2_4">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13. Earnings Per Share</w:t>
      </w:r>
    </w:p>
    <w:p>
      <w:pPr>
        <w:pStyle w:val="TextBody"/>
        <w:bidi w:val="0"/>
        <w:spacing w:before="0" w:after="0"/>
        <w:jc w:val="both"/>
        <w:rPr/>
      </w:pPr>
      <w:r>
        <w:rPr/>
      </w:r>
    </w:p>
    <w:p>
      <w:pPr>
        <w:pStyle w:val="TextBody"/>
        <w:bidi w:val="0"/>
        <w:spacing w:lineRule="auto" w:line="333" w:before="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Basic earnings per common share is computed by dividing net earnings available to common stockholders by the weighted average number of common shares outstanding during each period. Diluted earnings per common share assumes the vesting of RSUs using the treasury stock method when the effects of such assumptions are dilutive. A reconciliation of net earnings attributable to Mohawk Industries, Inc. and weighted-average common shares outstanding for purposes of calculating basic and diluted earnings per share is as follows:</w:t>
      </w:r>
    </w:p>
    <w:tbl>
      <w:tblPr>
        <w:tblW w:w="10205" w:type="dxa"/>
        <w:jc w:val="left"/>
        <w:tblInd w:w="0" w:type="dxa"/>
        <w:tblLayout w:type="fixed"/>
        <w:tblCellMar>
          <w:top w:w="28" w:type="dxa"/>
          <w:left w:w="28" w:type="dxa"/>
          <w:bottom w:w="28" w:type="dxa"/>
          <w:right w:w="28" w:type="dxa"/>
        </w:tblCellMar>
      </w:tblPr>
      <w:tblGrid>
        <w:gridCol w:w="1874"/>
        <w:gridCol w:w="1516"/>
        <w:gridCol w:w="1529"/>
        <w:gridCol w:w="221"/>
        <w:gridCol w:w="661"/>
        <w:gridCol w:w="114"/>
        <w:gridCol w:w="109"/>
        <w:gridCol w:w="109"/>
        <w:gridCol w:w="109"/>
        <w:gridCol w:w="364"/>
        <w:gridCol w:w="345"/>
        <w:gridCol w:w="330"/>
        <w:gridCol w:w="109"/>
        <w:gridCol w:w="109"/>
        <w:gridCol w:w="109"/>
        <w:gridCol w:w="335"/>
        <w:gridCol w:w="328"/>
        <w:gridCol w:w="298"/>
        <w:gridCol w:w="147"/>
        <w:gridCol w:w="147"/>
        <w:gridCol w:w="147"/>
        <w:gridCol w:w="365"/>
        <w:gridCol w:w="346"/>
        <w:gridCol w:w="323"/>
        <w:gridCol w:w="161"/>
      </w:tblGrid>
      <w:tr>
        <w:trPr/>
        <w:tc>
          <w:tcPr>
            <w:tcW w:w="187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r>
          </w:p>
        </w:tc>
        <w:tc>
          <w:tcPr>
            <w:tcW w:w="161"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per share data)</w:t>
            </w:r>
          </w:p>
        </w:tc>
        <w:tc>
          <w:tcPr>
            <w:tcW w:w="9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July 4,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July 4, 2026</w:t>
            </w:r>
          </w:p>
        </w:tc>
        <w:tc>
          <w:tcPr>
            <w:tcW w:w="4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June 28, 2025</w:t>
            </w:r>
          </w:p>
        </w:tc>
        <w:tc>
          <w:tcPr>
            <w:tcW w:w="161"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attributable to Mohawk Industries, Inc.</w:t>
            </w:r>
          </w:p>
        </w:tc>
        <w:tc>
          <w:tcPr>
            <w:tcW w:w="2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196.1</w:t>
            </w:r>
            <w:r>
              <w:rPr>
                <w:color w:val="000000"/>
              </w:rPr>
              <w:t> </w:t>
            </w:r>
          </w:p>
        </w:tc>
        <w:tc>
          <w:tcPr>
            <w:tcW w:w="1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146.5 </w:t>
            </w:r>
          </w:p>
        </w:tc>
        <w:tc>
          <w:tcPr>
            <w:tcW w:w="3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313.2</w:t>
            </w:r>
            <w:r>
              <w:rPr>
                <w:color w:val="000000"/>
              </w:rPr>
              <w:t> </w:t>
            </w:r>
          </w:p>
        </w:tc>
        <w:tc>
          <w:tcPr>
            <w:tcW w:w="29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219.0 </w:t>
            </w:r>
          </w:p>
        </w:tc>
        <w:tc>
          <w:tcPr>
            <w:tcW w:w="3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outstanding—basic and diluted:</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outstanding—basic</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60.7</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61.0</w:t>
            </w: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dilutive potential common shares—RSUs</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0.2</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0.3</w:t>
            </w: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outstanding—diluted</w:t>
            </w:r>
          </w:p>
        </w:tc>
        <w:tc>
          <w:tcPr>
            <w:tcW w:w="8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60.9</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61.3</w:t>
            </w:r>
            <w:r>
              <w:rPr>
                <w:color w:val="000000"/>
              </w:rPr>
              <w:t> </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attributable to Mohawk Industries, Inc.</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3.23</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5.13</w:t>
            </w: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2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3.22</w:t>
            </w:r>
            <w:r>
              <w:rPr>
                <w:color w:val="000000"/>
              </w:rPr>
              <w:t> </w:t>
            </w:r>
          </w:p>
        </w:tc>
        <w:tc>
          <w:tcPr>
            <w:tcW w:w="114"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330"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5.11</w:t>
            </w:r>
            <w:r>
              <w:rPr>
                <w:color w:val="000000"/>
              </w:rPr>
              <w:t> </w:t>
            </w:r>
          </w:p>
        </w:tc>
        <w:tc>
          <w:tcPr>
            <w:tcW w:w="298"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12"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323"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14. Segment Reporting</w:t>
      </w:r>
    </w:p>
    <w:p>
      <w:pPr>
        <w:pStyle w:val="TextBody"/>
        <w:bidi w:val="0"/>
        <w:spacing w:before="0" w:after="0"/>
        <w:jc w:val="both"/>
        <w:rPr/>
      </w:pPr>
      <w:r>
        <w:rPr/>
      </w:r>
    </w:p>
    <w:p>
      <w:pPr>
        <w:pStyle w:val="TextBody"/>
        <w:bidi w:val="0"/>
        <w:spacing w:lineRule="auto" w:line="312"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three reporting segments: Global Ceramic, Flooring NA and Flooring ROW. Global Ceramic designs, manufactures, sources and markets a broad line of ceramic tile, porcelain tile, natural stone, porcelain slabs, quartz countertops and other products, which it distributes primarily in North America, Europe and Latin America through its network of regional distribution centers and Company-operated service centers using Company-operated trucks, common carriers or rail transportation. The segment’s product lines are sold through Company-operated service centers, independent distributors, home centers, tile and flooring retailers, residential builders, residential and commercial contractors and commercial end users. Flooring NA designs, manufactures, sources and markets its floor covering product lines, including carpets, rugs, carpet pad, laminate, resilient (includes sheet vinyl and luxury vinyl tile (“LVT”)), wood flooring and flooring accessories, which it distributes through its network of regional distribution centers and satellite warehouses using Company-operated trucks, common carriers or rail transportation. The segment’s product lines are sold through independent floor covering retailers, independent distributors, home centers, mass merchandisers, department stores, shop at home, buying groups, residential builders, commercial contractors and commercial end users. Flooring ROW designs, manufactures, sources, licenses and markets laminate, sheet vinyl, LVT, carpet, carpet tile, wood flooring, roofing elements, insulation materials, medium- and high-density fiberboard (“MDF” and “HDF”), chipboards, decorative panels, and other wood products, which it distributes primarily in Europe and Oceania through independent floor covering retailers, Company-operated distributors, independent distributors and home centers.</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0"/>
        </w:rPr>
        <w:t xml:space="preserve">In November 2023, the FASB issued ASU 2023-07, </w:t>
      </w:r>
      <w:r>
        <w:rPr>
          <w:rFonts w:ascii="Times New Roman;serif" w:hAnsi="Times New Roman;serif"/>
          <w:b w:val="false"/>
          <w:i/>
          <w:color w:val="000000"/>
          <w:sz w:val="20"/>
        </w:rPr>
        <w:t>Segment Reporting (Topic 280): Improvements to Reportable Segment Disclosures</w:t>
      </w:r>
      <w:r>
        <w:rPr>
          <w:rFonts w:ascii="Times New Roman;serif" w:hAnsi="Times New Roman;serif"/>
          <w:b w:val="false"/>
          <w:color w:val="000000"/>
          <w:sz w:val="20"/>
        </w:rPr>
        <w:t xml:space="preserve">, which expands segment disclosures for public entities, including requiring disclosure of significant segment expenses that are regularly provided to the chief operating decision maker (“CODM”), the title and position of the CODM and an explanation of how the CODM uses reported measures of segment profit or loss in assessing segment performance and allocating resources. The new guidance also expands disclosures about a reportable segment’s profit or loss and assets in interim periods and clarifies that a public entity may report additional measures of segment profit if the CODM uses more than one measure of a segment’s profit or loss. The new guidance does not remove existing segment disclosure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333" w:before="0" w:after="0"/>
        <w:jc w:val="left"/>
        <w:rPr/>
      </w:pPr>
      <w:hyperlink w:anchor="i1643453db6654ca39ea0a46a8e0a40e2_4">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requirements or change how a public entity identifies its operating segments, aggregates those operating segments, or determines its reportable segments. Effective January 1, 2024, the Company adopted the new disclosure guidance.</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Chief Executive Officer (“CEO”), Chief Operating Officer (“COO”) and Chief Financial Officer (“CFO”) of the Company collaborate to gather information that the CEO uses to assess performance and make resource allocation decisions for the operating segments. The CEO frequently makes operational and resource allocation decisions and is also responsible for strategic decisions. Since the CEO makes crucial operating and resource allocation decisions with support from the other senior executives, the CEO is the CODM for purposes of Topic 280. </w:t>
      </w:r>
    </w:p>
    <w:p>
      <w:pPr>
        <w:pStyle w:val="TextBody"/>
        <w:bidi w:val="0"/>
        <w:spacing w:before="0" w:after="0"/>
        <w:ind w:left="0" w:right="0" w:firstLine="720"/>
        <w:jc w:val="both"/>
        <w:rPr/>
      </w:pPr>
      <w:r>
        <w:rPr/>
      </w:r>
    </w:p>
    <w:p>
      <w:pPr>
        <w:pStyle w:val="TextBody"/>
        <w:bidi w:val="0"/>
        <w:spacing w:lineRule="auto" w:line="312"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CODM considers Operating income (loss) as compared to prior year performance and forecast for each reporting segment to evaluate performance and allocate resources to the segments.</w:t>
      </w:r>
    </w:p>
    <w:p>
      <w:pPr>
        <w:pStyle w:val="TextBody"/>
        <w:bidi w:val="0"/>
        <w:spacing w:before="0" w:after="0"/>
        <w:ind w:left="0" w:right="0" w:firstLine="720"/>
        <w:jc w:val="both"/>
        <w:rPr/>
      </w:pPr>
      <w:r>
        <w:rPr/>
      </w:r>
    </w:p>
    <w:p>
      <w:pPr>
        <w:pStyle w:val="TextBody"/>
        <w:bidi w:val="0"/>
        <w:spacing w:lineRule="auto" w:line="312"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Global Ceramic, Flooring NA and Flooring ROW segments, the CODM uses segment Operating income (loss) to allocate resources (including employees and financial or capital resources) for each segment predominantly in the annual budget and forecasting process. The CODM considers forecast-to-actual variances in Operating income (loss) on a monthly basis when making decisions about allocating resources to the segments.</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internally provides the following discrete segment financial information to its CODM: total assets; geographic net sales; long-lived assets; net sales by product categories; net sales; cost of sales; selling, general, and administrative expenses; operating income; depreciation expenses and capital expenditures. This key segment information, including both significant segment expenses and assets, is used by the CODM to evaluate performance and allocate resources to the segments.</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Significant segment sales, expenses and assets information is as follows:</w:t>
      </w:r>
    </w:p>
    <w:tbl>
      <w:tblPr>
        <w:tblW w:w="7914" w:type="dxa"/>
        <w:jc w:val="left"/>
        <w:tblInd w:w="0" w:type="dxa"/>
        <w:tblLayout w:type="fixed"/>
        <w:tblCellMar>
          <w:top w:w="28" w:type="dxa"/>
          <w:left w:w="28" w:type="dxa"/>
          <w:bottom w:w="28" w:type="dxa"/>
          <w:right w:w="28" w:type="dxa"/>
        </w:tblCellMar>
      </w:tblPr>
      <w:tblGrid>
        <w:gridCol w:w="1246"/>
        <w:gridCol w:w="1093"/>
        <w:gridCol w:w="1096"/>
        <w:gridCol w:w="211"/>
        <w:gridCol w:w="886"/>
        <w:gridCol w:w="109"/>
        <w:gridCol w:w="109"/>
        <w:gridCol w:w="109"/>
        <w:gridCol w:w="494"/>
        <w:gridCol w:w="494"/>
        <w:gridCol w:w="496"/>
        <w:gridCol w:w="109"/>
        <w:gridCol w:w="109"/>
        <w:gridCol w:w="109"/>
        <w:gridCol w:w="109"/>
        <w:gridCol w:w="109"/>
        <w:gridCol w:w="109"/>
        <w:gridCol w:w="109"/>
        <w:gridCol w:w="109"/>
        <w:gridCol w:w="109"/>
        <w:gridCol w:w="109"/>
        <w:gridCol w:w="109"/>
        <w:gridCol w:w="109"/>
        <w:gridCol w:w="109"/>
        <w:gridCol w:w="154"/>
      </w:tblGrid>
      <w:tr>
        <w:trPr/>
        <w:tc>
          <w:tcPr>
            <w:tcW w:w="124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0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Ceramic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5,413.3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Flooring NA</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3,822.5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Flooring ROW</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4,005.2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3,989.2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intersegment eliminations</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13,823.2</w:t>
            </w:r>
            <w:r>
              <w:rPr>
                <w:color w:val="000000"/>
              </w:rPr>
              <w:t>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13,687.3 </w:t>
            </w:r>
          </w:p>
        </w:tc>
        <w:tc>
          <w:tcPr>
            <w:tcW w:w="49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79"/>
        <w:gridCol w:w="859"/>
        <w:gridCol w:w="863"/>
        <w:gridCol w:w="270"/>
        <w:gridCol w:w="1004"/>
        <w:gridCol w:w="139"/>
        <w:gridCol w:w="139"/>
        <w:gridCol w:w="109"/>
        <w:gridCol w:w="383"/>
        <w:gridCol w:w="383"/>
        <w:gridCol w:w="355"/>
        <w:gridCol w:w="109"/>
        <w:gridCol w:w="109"/>
        <w:gridCol w:w="109"/>
        <w:gridCol w:w="109"/>
        <w:gridCol w:w="109"/>
        <w:gridCol w:w="109"/>
        <w:gridCol w:w="676"/>
        <w:gridCol w:w="677"/>
        <w:gridCol w:w="390"/>
        <w:gridCol w:w="391"/>
        <w:gridCol w:w="325"/>
        <w:gridCol w:w="109"/>
        <w:gridCol w:w="109"/>
        <w:gridCol w:w="383"/>
        <w:gridCol w:w="383"/>
        <w:gridCol w:w="355"/>
        <w:gridCol w:w="109"/>
        <w:gridCol w:w="161"/>
      </w:tblGrid>
      <w:tr>
        <w:trPr/>
        <w:tc>
          <w:tcPr>
            <w:tcW w:w="97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3" w:type="dxa"/>
            <w:gridSpan w:val="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0" w:type="dxa"/>
            <w:gridSpan w:val="6"/>
            <w:tcBorders/>
          </w:tcPr>
          <w:p>
            <w:pPr>
              <w:pStyle w:val="TableContents"/>
              <w:bidi w:val="0"/>
              <w:spacing w:before="0" w:after="283"/>
              <w:jc w:val="left"/>
              <w:rPr>
                <w:sz w:val="4"/>
                <w:szCs w:val="4"/>
              </w:rPr>
            </w:pPr>
            <w:r>
              <w:rPr>
                <w:sz w:val="4"/>
                <w:szCs w:val="4"/>
              </w:rPr>
            </w:r>
          </w:p>
        </w:tc>
      </w:tr>
      <w:tr>
        <w:trPr/>
        <w:tc>
          <w:tcPr>
            <w:tcW w:w="2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4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July 4, 2026</w:t>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June 28,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July 4,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June 28, 2025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0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Geographic net sales:</w:t>
            </w:r>
          </w:p>
        </w:tc>
        <w:tc>
          <w:tcPr>
            <w:tcW w:w="141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0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1,592.0</w:t>
            </w: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1,518.8 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3,032.2</w:t>
            </w: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2,899.1 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Europe </w:t>
            </w:r>
            <w:r>
              <w:rPr>
                <w:rFonts w:ascii="Times New Roman;serif" w:hAnsi="Times New Roman;serif"/>
                <w:b w:val="false"/>
                <w:color w:val="000000"/>
                <w:sz w:val="13"/>
              </w:rPr>
              <w:t>(1)</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985.2</w:t>
            </w: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880.1 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1,874.2</w:t>
            </w: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1,654.3 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200.6</w:t>
            </w: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385.1</w:t>
            </w: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341.2 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213.6</w:t>
            </w: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428.6</w:t>
            </w: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433.3 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0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2,991.4</w:t>
            </w:r>
            <w:r>
              <w:rPr>
                <w:color w:val="000000"/>
              </w:rPr>
              <w:t> </w:t>
            </w:r>
          </w:p>
        </w:tc>
        <w:tc>
          <w:tcPr>
            <w:tcW w:w="13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2,802.1 </w:t>
            </w:r>
          </w:p>
        </w:tc>
        <w:tc>
          <w:tcPr>
            <w:tcW w:w="3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5,720.1</w:t>
            </w:r>
            <w:r>
              <w:rPr>
                <w:color w:val="000000"/>
              </w:rPr>
              <w:t> </w:t>
            </w:r>
          </w:p>
        </w:tc>
        <w:tc>
          <w:tcPr>
            <w:tcW w:w="32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5,327.9 </w:t>
            </w:r>
          </w:p>
        </w:tc>
        <w:tc>
          <w:tcPr>
            <w:tcW w:w="3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01"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01"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01"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01"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01"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01"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01"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 by product categories:</w:t>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Ceramic &amp; Stone</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1,191.6</w:t>
            </w: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1,101.5 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2,273.1</w:t>
            </w: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2,077.5 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Carpet &amp; Resilient</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989.9</w:t>
            </w: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979.8 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1,888.1</w:t>
            </w: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1,868.3 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Laminate &amp; Wood</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482.6</w:t>
            </w: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447.8 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931.0</w:t>
            </w: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839.4 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(2)</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327.3</w:t>
            </w: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627.9</w:t>
            </w: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542.7 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01"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0"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2,991.4</w:t>
            </w:r>
            <w:r>
              <w:rPr>
                <w:color w:val="000000"/>
              </w:rPr>
              <w:t> </w:t>
            </w:r>
          </w:p>
        </w:tc>
        <w:tc>
          <w:tcPr>
            <w:tcW w:w="13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2,802.1 </w:t>
            </w:r>
          </w:p>
        </w:tc>
        <w:tc>
          <w:tcPr>
            <w:tcW w:w="355"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5,720.1</w:t>
            </w:r>
            <w:r>
              <w:rPr>
                <w:color w:val="000000"/>
              </w:rPr>
              <w:t> </w:t>
            </w:r>
          </w:p>
        </w:tc>
        <w:tc>
          <w:tcPr>
            <w:tcW w:w="325"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5,327.9 </w:t>
            </w:r>
          </w:p>
        </w:tc>
        <w:tc>
          <w:tcPr>
            <w:tcW w:w="355"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6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Russia revenue included in Europe.</w:t>
      </w:r>
    </w:p>
    <w:p>
      <w:pPr>
        <w:pStyle w:val="TextBody"/>
        <w:bidi w:val="0"/>
        <w:spacing w:lineRule="auto" w:line="333" w:before="60" w:after="283"/>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Other includes roofing elements, insulation boards, chipboards and IP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333" w:before="0" w:after="0"/>
        <w:jc w:val="left"/>
        <w:rPr/>
      </w:pPr>
      <w:hyperlink w:anchor="i1643453db6654ca39ea0a46a8e0a40e2_4">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344"/>
        <w:gridCol w:w="1060"/>
        <w:gridCol w:w="930"/>
        <w:gridCol w:w="302"/>
        <w:gridCol w:w="1121"/>
        <w:gridCol w:w="155"/>
        <w:gridCol w:w="121"/>
        <w:gridCol w:w="109"/>
        <w:gridCol w:w="383"/>
        <w:gridCol w:w="383"/>
        <w:gridCol w:w="230"/>
        <w:gridCol w:w="109"/>
        <w:gridCol w:w="109"/>
        <w:gridCol w:w="109"/>
        <w:gridCol w:w="109"/>
        <w:gridCol w:w="109"/>
        <w:gridCol w:w="109"/>
        <w:gridCol w:w="465"/>
        <w:gridCol w:w="466"/>
        <w:gridCol w:w="390"/>
        <w:gridCol w:w="391"/>
        <w:gridCol w:w="217"/>
        <w:gridCol w:w="109"/>
        <w:gridCol w:w="109"/>
        <w:gridCol w:w="383"/>
        <w:gridCol w:w="383"/>
        <w:gridCol w:w="230"/>
        <w:gridCol w:w="109"/>
        <w:gridCol w:w="161"/>
      </w:tblGrid>
      <w:tr>
        <w:trPr/>
        <w:tc>
          <w:tcPr>
            <w:tcW w:w="1344"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5" w:type="dxa"/>
            <w:gridSpan w:val="6"/>
            <w:tcBorders/>
          </w:tcPr>
          <w:p>
            <w:pPr>
              <w:pStyle w:val="TableContents"/>
              <w:bidi w:val="0"/>
              <w:spacing w:before="0" w:after="283"/>
              <w:jc w:val="left"/>
              <w:rPr>
                <w:sz w:val="4"/>
                <w:szCs w:val="4"/>
              </w:rPr>
            </w:pPr>
            <w:r>
              <w:rPr>
                <w:sz w:val="4"/>
                <w:szCs w:val="4"/>
              </w:rPr>
            </w:r>
          </w:p>
        </w:tc>
      </w:tr>
      <w:tr>
        <w:trPr/>
        <w:tc>
          <w:tcPr>
            <w:tcW w:w="3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57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July 4, 2026</w:t>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June 28,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July 4,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June 28, 2025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157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Global Ceramic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1,209.7</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1,120.9 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2,307.1</w:t>
            </w: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2,114.7 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Flooring NA </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976.1</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946.8 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1,856.1</w:t>
            </w: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1,809.2 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Flooring ROW </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805.6</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734.4 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1,556.9</w:t>
            </w: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0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2,991.4</w:t>
            </w:r>
            <w:r>
              <w:rPr>
                <w:color w:val="000000"/>
              </w:rPr>
              <w:t>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2,802.1 </w:t>
            </w:r>
          </w:p>
        </w:tc>
        <w:tc>
          <w:tcPr>
            <w:tcW w:w="2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5,720.1</w:t>
            </w:r>
            <w:r>
              <w:rPr>
                <w:color w:val="000000"/>
              </w:rPr>
              <w:t> </w:t>
            </w:r>
          </w:p>
        </w:tc>
        <w:tc>
          <w:tcPr>
            <w:tcW w:w="21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5,327.9 </w:t>
            </w:r>
          </w:p>
        </w:tc>
        <w:tc>
          <w:tcPr>
            <w:tcW w:w="2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82" w:type="dxa"/>
            <w:gridSpan w:val="10"/>
            <w:tcBorders/>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sales:</w:t>
            </w:r>
          </w:p>
        </w:tc>
        <w:tc>
          <w:tcPr>
            <w:tcW w:w="1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Ceramic</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867.3</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791.8 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1,673.7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1,525.7 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Flooring NA</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716.5</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1,425.3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Flooring ROW</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612.9</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566.9 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1,184.9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1,083.9 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intersegment eliminations</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(0.8)</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0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2,196.3</w:t>
            </w:r>
            <w:r>
              <w:rPr>
                <w:color w:val="000000"/>
              </w:rPr>
              <w:t> </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2,087.7 </w:t>
            </w:r>
          </w:p>
        </w:tc>
        <w:tc>
          <w:tcPr>
            <w:tcW w:w="2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4,283.1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4,030.2 </w:t>
            </w:r>
          </w:p>
        </w:tc>
        <w:tc>
          <w:tcPr>
            <w:tcW w:w="2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Selling, general and administrative expenses:</w:t>
            </w:r>
          </w:p>
        </w:tc>
        <w:tc>
          <w:tcPr>
            <w:tcW w:w="1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Ceramic</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248.2</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488.0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458.8 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Flooring NA</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161.8</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329.3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326.5 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Flooring ROW</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114.1</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intersegment eliminations</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17.3</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0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541.4</w:t>
            </w:r>
            <w:r>
              <w:rPr>
                <w:color w:val="000000"/>
              </w:rPr>
              <w:t> </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525.7 </w:t>
            </w:r>
          </w:p>
        </w:tc>
        <w:tc>
          <w:tcPr>
            <w:tcW w:w="2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1,071.5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1,012.9 </w:t>
            </w:r>
          </w:p>
        </w:tc>
        <w:tc>
          <w:tcPr>
            <w:tcW w:w="2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1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Global Ceramic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94.1</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145.4</w:t>
            </w: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Flooring NA </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97.8</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101.5</w:t>
            </w: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Flooring ROW </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78.7</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149.2</w:t>
            </w: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270.6</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396.1</w:t>
            </w: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1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segment operating income (loss) to consolidated earnings (loss) before income taxes:</w:t>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amounts:</w:t>
            </w:r>
          </w:p>
        </w:tc>
        <w:tc>
          <w:tcPr>
            <w:tcW w:w="1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Corporate expense</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30.6</w:t>
            </w: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and expense, net</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0.4</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w:t>
            </w: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w:t>
            </w: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before income taxes</w:t>
            </w:r>
          </w:p>
        </w:tc>
        <w:tc>
          <w:tcPr>
            <w:tcW w:w="30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248.5</w:t>
            </w:r>
            <w:r>
              <w:rPr>
                <w:color w:val="000000"/>
              </w:rPr>
              <w:t> </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180.5 </w:t>
            </w:r>
          </w:p>
        </w:tc>
        <w:tc>
          <w:tcPr>
            <w:tcW w:w="2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356.7</w:t>
            </w:r>
            <w:r>
              <w:rPr>
                <w:color w:val="000000"/>
              </w:rPr>
              <w:t> </w:t>
            </w:r>
          </w:p>
        </w:tc>
        <w:tc>
          <w:tcPr>
            <w:tcW w:w="21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270.5 </w:t>
            </w:r>
          </w:p>
        </w:tc>
        <w:tc>
          <w:tcPr>
            <w:tcW w:w="2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w:t>
            </w:r>
          </w:p>
        </w:tc>
        <w:tc>
          <w:tcPr>
            <w:tcW w:w="1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Ceramic</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55.1</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110.0</w:t>
            </w: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Flooring NA</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52.1</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133.5</w:t>
            </w: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Flooring ROW</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50.1</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94.6</w:t>
            </w: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intersegment eliminations</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w:t>
            </w: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0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159.1</w:t>
            </w:r>
            <w:r>
              <w:rPr>
                <w:color w:val="000000"/>
              </w:rPr>
              <w:t> </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2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341.1</w:t>
            </w:r>
            <w:r>
              <w:rPr>
                <w:color w:val="000000"/>
              </w:rPr>
              <w:t> </w:t>
            </w:r>
          </w:p>
        </w:tc>
        <w:tc>
          <w:tcPr>
            <w:tcW w:w="21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306.0 </w:t>
            </w:r>
          </w:p>
        </w:tc>
        <w:tc>
          <w:tcPr>
            <w:tcW w:w="2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82" w:type="dxa"/>
            <w:gridSpan w:val="10"/>
            <w:tcBorders/>
          </w:tcPr>
          <w:p>
            <w:pPr>
              <w:pStyle w:val="TableContents"/>
              <w:bidi w:val="0"/>
              <w:spacing w:before="0" w:after="283"/>
              <w:jc w:val="left"/>
              <w:rPr>
                <w:sz w:val="4"/>
                <w:szCs w:val="4"/>
              </w:rPr>
            </w:pPr>
            <w:r>
              <w:rPr>
                <w:sz w:val="4"/>
                <w:szCs w:val="4"/>
              </w:rPr>
            </w:r>
          </w:p>
        </w:tc>
      </w:tr>
      <w:tr>
        <w:trPr/>
        <w:tc>
          <w:tcPr>
            <w:tcW w:w="3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expenditures (excluding acquisitions):</w:t>
            </w:r>
          </w:p>
        </w:tc>
        <w:tc>
          <w:tcPr>
            <w:tcW w:w="1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Ceramic</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49.1</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87.7</w:t>
            </w: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Flooring NA</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48.0</w:t>
            </w: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Flooring ROW</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52.5</w:t>
            </w: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intersegment eliminations</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0.3</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w:t>
            </w: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02"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88.4</w:t>
            </w:r>
            <w:r>
              <w:rPr>
                <w:color w:val="000000"/>
              </w:rPr>
              <w:t> </w:t>
            </w:r>
          </w:p>
        </w:tc>
        <w:tc>
          <w:tcPr>
            <w:tcW w:w="155"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230"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190.6</w:t>
            </w:r>
            <w:r>
              <w:rPr>
                <w:color w:val="000000"/>
              </w:rPr>
              <w:t> </w:t>
            </w:r>
          </w:p>
        </w:tc>
        <w:tc>
          <w:tcPr>
            <w:tcW w:w="217"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169.3 </w:t>
            </w:r>
          </w:p>
        </w:tc>
        <w:tc>
          <w:tcPr>
            <w:tcW w:w="230"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333" w:before="0" w:after="0"/>
        <w:jc w:val="left"/>
        <w:rPr/>
      </w:pPr>
      <w:hyperlink w:anchor="i1643453db6654ca39ea0a46a8e0a40e2_4">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15. Commitments and Contingencies</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in the regular course of its business, the Company is involved in various lawsuits, claims, investigations and other legal matters. Except as noted below, there are no material legal proceedings pending or known by the Company to be contemplated to which the Company is a party or to which any of its property is subject.</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Perfluoroalkyl and Polyfluoroalkyl Substances (“PFAS”) Litigation </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been named as a defendant in a number of lawsuits in Georgia, Alabama, and South Carolina relating to carpet products that allegedly contained perfluoroalkyl and polyfluoroalkyl substances (“PFAS”). These lawsuits have been brought against chemical manufacturers and carpet manufacturers and have been brought by four categories of plaintiffs: (i) municipalities and counties alleging contamination of their drinking water sources with PFAS, (ii) counties alleging contamination of their landfills with PFAS, (iii) private landowners alleging contamination of their real property with PFAS, and (iv) rate payers alleging that their drinking water rates have increased due to the costs associated with remediation of PFAS.</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municipalities and counties assert common law and statutory claims seeking to recover the costs of installing water filtration systems to filter out the PFAS that is allegedly in the drinking water sources. The counties that claim contamination of their landfills assert common law and statutory claims seeking to recover the costs of remediating the PFAS that is allegedly in the landfills. The private landowners allege that biosolids sludge applied on or near their real property contained PFAS or allege that PFAS from nearby manufacturing facilities ended up on their real property. Those landowners assert common law and statutory claims seeking to recover the costs of remediating the PFAS that is allegedly on their real property. Finally, the rate payers that claim their drinking water rates have increased due to PFAS include a proposed class of water subscribers with the Rome Water and Sewer Division and/or the Floyd County Water Department in Georgia. The rate payers assert common law and statutory claims and seek to recover past and future damages due to the rate increases. </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believes that it has significant defenses against the allegations in these lawsuits and will continue to vigorously defend against these claims.</w:t>
      </w:r>
    </w:p>
    <w:p>
      <w:pPr>
        <w:pStyle w:val="TextBody"/>
        <w:bidi w:val="0"/>
        <w:spacing w:before="0" w:after="0"/>
        <w:ind w:left="0" w:right="0" w:firstLine="720"/>
        <w:jc w:val="left"/>
        <w:rPr/>
      </w:pPr>
      <w:r>
        <w:rPr/>
      </w:r>
    </w:p>
    <w:p>
      <w:pPr>
        <w:pStyle w:val="TextBody"/>
        <w:bidi w:val="0"/>
        <w:spacing w:lineRule="auto" w:line="319" w:before="0" w:after="0"/>
        <w:jc w:val="left"/>
        <w:rPr>
          <w:rFonts w:ascii="Times New Roman;serif" w:hAnsi="Times New Roman;serif"/>
          <w:b w:val="false"/>
          <w:i/>
          <w:color w:val="000000"/>
          <w:sz w:val="20"/>
        </w:rPr>
      </w:pPr>
      <w:r>
        <w:rPr>
          <w:rFonts w:ascii="Times New Roman;serif" w:hAnsi="Times New Roman;serif"/>
          <w:b w:val="false"/>
          <w:i/>
          <w:color w:val="000000"/>
          <w:sz w:val="20"/>
        </w:rPr>
        <w:t>Silica Litigation</w:t>
      </w: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certain claims related to exposure to silica dust that have been submitted against it or its subsidiaries. A majority of these outstanding claims have been filed against the Company by a single plaintiff group in California, bringing the total number of cases now outstanding to approximately 300. The Company believes it has substantial defenses against the allegations and will continue to vigorously defend against these claims. </w:t>
      </w:r>
    </w:p>
    <w:p>
      <w:pPr>
        <w:pStyle w:val="TextBody"/>
        <w:bidi w:val="0"/>
        <w:spacing w:before="0" w:after="0"/>
        <w:jc w:val="left"/>
        <w:rPr/>
      </w:pPr>
      <w:r>
        <w:rPr/>
      </w:r>
    </w:p>
    <w:p>
      <w:pPr>
        <w:pStyle w:val="TextBody"/>
        <w:bidi w:val="0"/>
        <w:spacing w:lineRule="auto" w:line="319" w:before="0" w:after="0"/>
        <w:jc w:val="both"/>
        <w:rPr>
          <w:rFonts w:ascii="Times New Roman;serif" w:hAnsi="Times New Roman;serif"/>
          <w:b w:val="false"/>
          <w:i/>
          <w:color w:val="000000"/>
          <w:sz w:val="20"/>
        </w:rPr>
      </w:pPr>
      <w:r>
        <w:rPr>
          <w:rFonts w:ascii="Times New Roman;serif" w:hAnsi="Times New Roman;serif"/>
          <w:b w:val="false"/>
          <w:i/>
          <w:color w:val="000000"/>
          <w:sz w:val="20"/>
        </w:rPr>
        <w:t>Belgian Tax Matter</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in a dispute with the Belgian Tax Authority (the “BTA”) in relation to certain intercompany loans to or from IVC BV, Unilin BV, and Unilin Holding BV, each of which is one of the Company’s subsidiaries in Belgium. The BTA has asserted that these loans were not genuine loans for Belgian tax purposes. The BTA issued assessments for the years ended December 31, 2017, 2018, 2019, 2020, and 2021 totaling approximately €1.2 billion (including penalties but excluding late payment interest) combined on the three entities, whereby it rejected certain interest deductions and the deduction for dividends received and asserted the inclusion of income related to these loans. Most of these disputed assessments are still in the administrative phase and have been appealed administratively before the BTA, while others are now proceeding in the Belgian courts. The Company believes that its tax position in Belgium was correct and intends to vigorously defend its position.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333" w:before="0" w:after="0"/>
        <w:jc w:val="left"/>
        <w:rPr/>
      </w:pPr>
      <w:hyperlink w:anchor="i1643453db6654ca39ea0a46a8e0a40e2_4">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319" w:before="0" w:after="0"/>
        <w:jc w:val="left"/>
        <w:rPr>
          <w:rFonts w:ascii="Times New Roman;serif" w:hAnsi="Times New Roman;serif"/>
          <w:b w:val="false"/>
          <w:i/>
          <w:color w:val="000000"/>
          <w:sz w:val="20"/>
        </w:rPr>
      </w:pPr>
      <w:r>
        <w:rPr>
          <w:rFonts w:ascii="Times New Roman;serif" w:hAnsi="Times New Roman;serif"/>
          <w:b w:val="false"/>
          <w:i/>
          <w:color w:val="000000"/>
          <w:sz w:val="20"/>
        </w:rPr>
        <w:t>General</w:t>
      </w: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believes that adequate provisions for resolution of all contingencies, claims and pending litigation have been made for probable losses that are reasonably estimable. These contingencies are subject to significant uncertainties and the Company is unable to estimate the amount or range of loss, if any, in excess of amounts accrued. The Company does not believe that the ultimate outcome of these actions will be significantly above amounts accrued, or that the ultimate outcome of these actions will have a material adverse effect on its financial condition; however, litigation is inherently uncertain and actual losses could result in unfavorable outcomes that could have a material adverse effect on its results of operations, cash flows or liquidity in a given quarter or year. </w:t>
      </w: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subject to various federal, state, local and foreign environmental health and safety laws and regulations, including those governing air emissions, wastewater discharges, the use, storage, treatment, recycling and disposal of solid and hazardous materials and finished product, and the cleanup of contamination associated therewith. Because of the nature of the Company’s business, the Company has incurred, and will continue to incur, costs relating to compliance with such laws and regulations. The Company is involved in various proceedings relating to environmental matters and is currently engaged in environmental investigation, remediation and post-closure care programs at certain sites. The Company has provided accruals for such activities that it has determined to be both probable and reasonably estimable. The Company does not expect that the ultimate liability with respect to such activities will have a material adverse effect on its financial condition; however, litigation is inherently uncertain and actual losses could result in unfavorable outcomes that could have a material adverse effect on its results of operations, cash flows or liquidity in a given quarter 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16. Debt</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i/>
          <w:color w:val="000000"/>
          <w:sz w:val="20"/>
        </w:rPr>
      </w:pPr>
      <w:r>
        <w:rPr>
          <w:rFonts w:ascii="Times New Roman;serif" w:hAnsi="Times New Roman;serif"/>
          <w:b w:val="false"/>
          <w:i/>
          <w:color w:val="000000"/>
          <w:sz w:val="20"/>
        </w:rPr>
        <w:t>Senior Credit Facility</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12, 2026, the Company entered into a senior revolving credit agreement (the “Senior Credit Facility”), by and among the Company and certain of its domestic and foreign subsidiaries, as borrowers (the “Borrowers”), certain lenders party thereto from time to time (the “Lenders”), JPMorgan Chase Bank, N.A. and J.P. Morgan SE, as U.S. administrative agent and non-U.S. administrative agent (together, the “Administrative Agent”). Contemporaneously with the entry into the Senior Credit Facility, the Company terminated all outstanding commitments and repaid all outstanding obligations under its existing senior revolving credit facility. The Senior Credit Facility provides for unsecured revolving credit commitments in an initial aggregate amount of up to $1,500.0 million that includes: (i) revolving credit loans up to the maximum amount available under the Senior Credit Facility, (ii) the issuance of letters of credit up to a $125.0 million sublimit, and (iii) swingline loans in an initial aggregate amount up to $150.0 million, with an accordion feature pursuant to which the Borrowers may request to increase the revolving commitments by an additional aggregate amount of up to $600.0 million, subject to the satisfaction of certain conditions. The proceeds of any borrowings under the Senior Credit Facility will be used to (a) refinance the Company’s existing senior revolving credit facility, (b) pay fees, commissions and expenses in connection with the transaction related to the Senior Credit Facility and (c) finance ongoing working capital requirements and other general corporate purposes.</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Senior Credit Facility is scheduled to mature on May 12, 2031, and the Company has the option to extend the maturity of the Senior Credit Facility up to two times for periods not exceeding five years from the then-scheduled maturity date. The Company can terminate and prepay the Senior Credit Facility at any time without payment of any termination or prepayment penalty (other than customary breakage costs).</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Senior Credit Facility is available in United States Dollars and in alternative currencies including Australian Dollars, Canadian Dollars, Euro and Sterling (each, an “Alternative Currency”). At the Company’s election, United States Dollars denominated revolving loans under the Senior Credit Facility bear interest at annual rates equal to (a) a forward-looking term rate based on the secured overnight financing rate for the applicable 1, 3, or 6-month interest period (“Term SOFR”), as selected by the Company, plus an applicable margin ranging from 0.750% per annum to 1.250% per annum (0.88% as of July 4, 2026), or (b) the highest of (i) the prime rate in effect on such date, (ii) the Federal funds effective rate in effect on such day plus 0.50%, and (iii) Term SOFR for a one month tenor in effect on such day plus 1.00% (“Base Rate”) plus an applicable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333" w:before="0" w:after="0"/>
        <w:jc w:val="left"/>
        <w:rPr/>
      </w:pPr>
      <w:hyperlink w:anchor="i1643453db6654ca39ea0a46a8e0a40e2_4">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margin ranging from 0.000% per annum to 0.250% per annum (0.0% as of July 4, 2026). Borrowings in Australian Dollars, Canadian Dollars and Euro bear interest at the Eurocurrency Rate (as defined in the Senior Credit Facility), plus an applicable margin ranging from 0.750% per annum to 1.250% per annum (0.88% as of July 4, 2026). Borrowings in Sterling bear interest based on Daily Simple RFR (as defined in the Senior Credit Facility), plus an applicable margin ranging from 0.750% per annum to 1.250% per annum (0.88% as of July 4, 2026). The Company will also pay a commitment fee to the lenders at a rate ranging from 0.055% per annum to 0.150% per annum (0.07% as of July 4, 2026). The applicable margins and the commitment fee are determined based on whichever of the Company’s Consolidated Net Leverage Ratio (as defined in the Senior Credit Facility) or its senior unsecured debt rating (or if not available, corporate family rating) results in the lower applicable margins and commitment fee (with applicable margins and the commitment fee increasing as that ratio increases or those ratings decline, as applicable).</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obligations of the Company and its subsidiaries in respect of the Senior Credit Facility are unsecured.</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obligations of the several domestic borrowers are guaranteed by the other domestic borrowers party to the Senior Credit Facility, and all obligations of the several foreign borrowers are guaranteed by the other foreign borrowers and all of the domestic borrowers party to the Senior Credit Facility</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Senior Credit Facility includes certain affirmative and negative covenants that impose restrictions on the Company’s financial and business operations, including limitations on liens, indebtedness, and changes in the nature of the Company’s business. Many of these limitations are subject to numerous exceptions. The Company is also required to maintain a Consolidated Interest Coverage Ratio (as defined in the Senior Credit Facility) of at least 3.50 to 1.00 as of the last day of any fiscal quarter.</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Senior Credit Facility also contains customary representations and warranties and events of default, subject to customary grace periods.</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Upon the occurrence of certain events of default, the Administrative Agent may, and at the instruction of the Lenders will, among other remedies, suspend the commitments of the Lenders and any obligation of the letter of credit issuers to make letter of credit extensions, terminate the commitments of the Lenders and any obligation of the letter of credit issuers to make letter of credit extensions, and declare the outstanding loans and other obligations under the Senior Credit Facility immediately due and payable.</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2026, the Company paid financing costs of $2.2 million in connection with its entry into its Senior Credit Facility. The unamortized costs from the previous Senior Credit Facility were written off in the quarter ending July 4, 2026. </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0"/>
        </w:rPr>
        <w:t>As of July 4, 2026, amounts used under the Senior Credit Facility included $0.0 million of borrowings and $0.9 million of standby letters of credit related to various insurance contracts and foreign vendor commitments. Any outstanding borrowings under the Company’s United States and European commercial paper programs reduce the availability of the Senior Credit Facility. Including commercial paper borrowings, the Company has used $167.9 million</w:t>
      </w:r>
      <w:r>
        <w:rPr>
          <w:color w:val="000000"/>
        </w:rPr>
        <w:t xml:space="preserve"> </w:t>
      </w:r>
      <w:r>
        <w:rPr>
          <w:rFonts w:ascii="Times New Roman;serif" w:hAnsi="Times New Roman;serif"/>
          <w:b w:val="false"/>
          <w:color w:val="000000"/>
          <w:sz w:val="20"/>
        </w:rPr>
        <w:t xml:space="preserve">under the Senior Credit Facility, resulting in a total of $1,332.1 million available as of July 4, 2026. </w:t>
      </w:r>
    </w:p>
    <w:p>
      <w:pPr>
        <w:pStyle w:val="TextBody"/>
        <w:bidi w:val="0"/>
        <w:spacing w:before="0" w:after="0"/>
        <w:jc w:val="both"/>
        <w:rPr/>
      </w:pPr>
      <w:r>
        <w:rPr/>
      </w:r>
    </w:p>
    <w:p>
      <w:pPr>
        <w:pStyle w:val="TextBody"/>
        <w:bidi w:val="0"/>
        <w:spacing w:lineRule="auto" w:line="333" w:before="0" w:after="0"/>
        <w:jc w:val="left"/>
        <w:rPr>
          <w:rFonts w:ascii="Times New Roman;serif" w:hAnsi="Times New Roman;serif"/>
          <w:b w:val="false"/>
          <w:i/>
          <w:color w:val="000000"/>
          <w:sz w:val="20"/>
        </w:rPr>
      </w:pPr>
      <w:r>
        <w:rPr>
          <w:rFonts w:ascii="Times New Roman;serif" w:hAnsi="Times New Roman;serif"/>
          <w:b w:val="false"/>
          <w:i/>
          <w:color w:val="000000"/>
          <w:sz w:val="20"/>
        </w:rPr>
        <w:t>Commercial Paper</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28, 2014, and July 31, 2015, the Company established programs for the issuance of unsecured commercial paper in the United States and Eurozone capital markets, respectively. Commercial paper issued under the United States and European programs will have maturities ranging up to 397 and 183 days, respectively. None of the commercial paper notes may be voluntarily prepaid or redeemed by the Company and rank pari passu with the Company’s other unsecured and unsubordinated indebtedness. To the extent that the Company issues European commercial paper notes through a subsidiary of the Company, the notes will be fully and unconditionally guaranteed by the Company.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333" w:before="0" w:after="0"/>
        <w:jc w:val="left"/>
        <w:rPr/>
      </w:pPr>
      <w:hyperlink w:anchor="i1643453db6654ca39ea0a46a8e0a40e2_4">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uses its Senior Credit Facility as a liquidity backstop for its commercial paper programs. Accordingly, the total amount outstanding under the Company’s commercial paper programs may not exceed $1,500.0 million (less any amounts drawn on the Senior Credit Facility) at any time.</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proceeds from the issuance of commercial paper notes will be available for general corporate purposes. As of July 4, 2026, there was $167.0 million outstanding under the United States commercial paper program, and no amounts outstanding under the European program. The weighted-average interest rate and maturity period for the U.S. program were 3.91% and 6.1 days, respectively. </w:t>
      </w:r>
    </w:p>
    <w:p>
      <w:pPr>
        <w:pStyle w:val="TextBody"/>
        <w:bidi w:val="0"/>
        <w:spacing w:before="0" w:after="0"/>
        <w:ind w:left="0" w:right="0" w:firstLine="720"/>
        <w:jc w:val="both"/>
        <w:rPr/>
      </w:pPr>
      <w:r>
        <w:rPr/>
      </w:r>
    </w:p>
    <w:p>
      <w:pPr>
        <w:pStyle w:val="TextBody"/>
        <w:bidi w:val="0"/>
        <w:spacing w:lineRule="auto" w:line="333" w:before="0" w:after="0"/>
        <w:jc w:val="both"/>
        <w:rPr>
          <w:rFonts w:ascii="Times New Roman;serif" w:hAnsi="Times New Roman;serif"/>
          <w:b w:val="false"/>
          <w:i/>
          <w:color w:val="000000"/>
          <w:sz w:val="20"/>
        </w:rPr>
      </w:pPr>
      <w:r>
        <w:rPr>
          <w:rFonts w:ascii="Times New Roman;serif" w:hAnsi="Times New Roman;serif"/>
          <w:b w:val="false"/>
          <w:i/>
          <w:color w:val="000000"/>
          <w:sz w:val="20"/>
        </w:rPr>
        <w:t>Senior Notes</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18, 2023, the Company completed the issuance and sale of $600.0 million aggregate principal amount of 5.850% Senior Notes (“5.850% Senior Notes”) due September 18, 2028. The 5.850% Senior Notes are senior unsecured obligations of the Company and rank pari passu with the Company’s other existing and future senior unsecured indebtedness. Interest on the 5.850% Senior Notes is payable semi-annually in cash on March 18 and September 18 of each year, commencing on March 18, 2024. The Company paid financing costs of $5.6 million in connection with the 5.850% Senior Notes. These costs were deferred and are being amortized over the term of the 5.850% Senior Notes. </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June 12, 2020, Mohawk Capital Finance S.A. (“Mohawk Finance”), an indirect wholly owned finance subsidiary of the Company, completed the issuance and sale of €500.0 million aggregate principal amount of 1.750% Senior Notes (“1.750% Senior Notes”) due June 12, 2027. The 1.750% Senior Notes are senior unsecured obligations of Mohawk Finance and rank pari passu with Mohawk Finance’s other existing and future senior unsecured indebtedness. The 1.750% Senior Notes are fully, unconditionally and irrevocably guaranteed by the Company on a senior unsecured basis. Interest on the 1.750% Senior Notes is payable annually in cash on June 12 of each year, commencing on June 12, 2021. The Company paid financing costs of $4.4 million in connection with the 1.750% Senior Notes. These costs were deferred and are being amortized over the term of the 1.750% Senior Notes. </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14, 2020, the Company completed the issuance and sale of $500.0 million aggregate principal amount of 3.625% Senior Notes (“3.625% Senior Notes”) due May 15, 2030. The 3.625% Senior Notes are senior unsecured obligations of the Company and rank pari passu with the Company’s existing and future unsecured indebtedness. Interest on the 3.625% Senior Notes is payable semi-annually in cash on May 15 and November 15 of each year, commencing on November 15, 2020. The Company paid financing costs of $5.5 million in connection with the 3.625% Senior Notes. These costs were deferred and are being amortized over the term of the 3.625% Senior Notes.     </w:t>
      </w: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defined in the related agreements, the Company’s senior notes contain covenants, representations and warranties and events of default, subject to exceptions, and restrictions on the Company’s financial and business operations, including limitations on liens, restrictions on entering into sale and leaseback transactions, fundamental changes, and a provision allowing the holder of the notes to require repayment upon a change of control triggering event.</w:t>
      </w:r>
    </w:p>
    <w:p>
      <w:pPr>
        <w:pStyle w:val="TextBody"/>
        <w:bidi w:val="0"/>
        <w:spacing w:before="0" w:after="0"/>
        <w:ind w:left="0" w:right="0" w:firstLine="720"/>
        <w:jc w:val="both"/>
        <w:rPr/>
      </w:pPr>
      <w:r>
        <w:rPr/>
      </w:r>
    </w:p>
    <w:p>
      <w:pPr>
        <w:pStyle w:val="TextBody"/>
        <w:bidi w:val="0"/>
        <w:spacing w:before="0" w:after="10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333" w:before="0" w:after="0"/>
        <w:jc w:val="left"/>
        <w:rPr/>
      </w:pPr>
      <w:hyperlink w:anchor="i1643453db6654ca39ea0a46a8e0a40e2_4">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312" w:before="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values and carrying values of the Company’s debt instruments are detailed as follows:</w:t>
      </w:r>
    </w:p>
    <w:tbl>
      <w:tblPr>
        <w:tblW w:w="10205" w:type="dxa"/>
        <w:jc w:val="left"/>
        <w:tblInd w:w="0" w:type="dxa"/>
        <w:tblLayout w:type="fixed"/>
        <w:tblCellMar>
          <w:top w:w="28" w:type="dxa"/>
          <w:left w:w="28" w:type="dxa"/>
          <w:bottom w:w="28" w:type="dxa"/>
          <w:right w:w="28" w:type="dxa"/>
        </w:tblCellMar>
      </w:tblPr>
      <w:tblGrid>
        <w:gridCol w:w="1894"/>
        <w:gridCol w:w="1520"/>
        <w:gridCol w:w="1508"/>
        <w:gridCol w:w="109"/>
        <w:gridCol w:w="211"/>
        <w:gridCol w:w="781"/>
        <w:gridCol w:w="109"/>
        <w:gridCol w:w="109"/>
        <w:gridCol w:w="481"/>
        <w:gridCol w:w="359"/>
        <w:gridCol w:w="341"/>
        <w:gridCol w:w="314"/>
        <w:gridCol w:w="460"/>
        <w:gridCol w:w="348"/>
        <w:gridCol w:w="318"/>
        <w:gridCol w:w="109"/>
        <w:gridCol w:w="441"/>
        <w:gridCol w:w="345"/>
        <w:gridCol w:w="448"/>
      </w:tblGrid>
      <w:tr>
        <w:trPr/>
        <w:tc>
          <w:tcPr>
            <w:tcW w:w="1894"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4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0"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2026</w:t>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1440"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 2025</w:t>
            </w:r>
          </w:p>
        </w:tc>
        <w:tc>
          <w:tcPr>
            <w:tcW w:w="1343" w:type="dxa"/>
            <w:gridSpan w:val="4"/>
            <w:tcBorders/>
          </w:tcPr>
          <w:p>
            <w:pPr>
              <w:pStyle w:val="TableContents"/>
              <w:bidi w:val="0"/>
              <w:spacing w:before="0" w:after="283"/>
              <w:jc w:val="left"/>
              <w:rPr>
                <w:sz w:val="4"/>
                <w:szCs w:val="4"/>
              </w:rPr>
            </w:pPr>
            <w:r>
              <w:rPr>
                <w:sz w:val="4"/>
                <w:szCs w:val="4"/>
              </w:rPr>
            </w:r>
          </w:p>
        </w:tc>
      </w:tr>
      <w:tr>
        <w:trPr/>
        <w:tc>
          <w:tcPr>
            <w:tcW w:w="49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4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1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1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Carrying Value</w:t>
            </w:r>
          </w:p>
        </w:tc>
        <w:tc>
          <w:tcPr>
            <w:tcW w:w="314" w:type="dxa"/>
            <w:tcBorders/>
            <w:vAlign w:val="center"/>
          </w:tcPr>
          <w:p>
            <w:pPr>
              <w:pStyle w:val="TableContents"/>
              <w:bidi w:val="0"/>
              <w:spacing w:before="0" w:after="283"/>
              <w:jc w:val="left"/>
              <w:rPr>
                <w:sz w:val="4"/>
                <w:szCs w:val="4"/>
              </w:rPr>
            </w:pPr>
            <w:r>
              <w:rPr>
                <w:sz w:val="4"/>
                <w:szCs w:val="4"/>
              </w:rPr>
            </w:r>
          </w:p>
        </w:tc>
        <w:tc>
          <w:tcPr>
            <w:tcW w:w="11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2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Carrying Value</w:t>
            </w:r>
          </w:p>
        </w:tc>
      </w:tr>
      <w:tr>
        <w:trPr/>
        <w:tc>
          <w:tcPr>
            <w:tcW w:w="492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1.75% Senior Notes, payable June 12, 2027; interest payable annually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571.9</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571.9</w:t>
            </w:r>
            <w:r>
              <w:rPr>
                <w:color w:val="000000"/>
              </w:rPr>
              <w:t> </w:t>
            </w:r>
          </w:p>
        </w:tc>
        <w:tc>
          <w:tcPr>
            <w:tcW w:w="3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0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581.0 </w:t>
            </w:r>
          </w:p>
        </w:tc>
        <w:tc>
          <w:tcPr>
            <w:tcW w:w="3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587.4 </w:t>
            </w:r>
          </w:p>
        </w:tc>
        <w:tc>
          <w:tcPr>
            <w:tcW w:w="44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3.625% Senior Notes, payable May 15, 2030; interest payable semi-annually</w:t>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500.0</w:t>
            </w: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485.0 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5.85% Senior Notes, payable September 18, 2028; interest payable semi-annually</w:t>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600.0</w:t>
            </w: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624.0 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49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49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49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4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commercial paper</w:t>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167.0</w:t>
            </w: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commercial paper</w:t>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Credit Facility, payable May 12, 2031</w:t>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49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49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4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 and other</w:t>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82.7</w:t>
            </w: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(5.1)</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2"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1,911.5</w:t>
            </w:r>
            <w:r>
              <w:rPr>
                <w:color w:val="000000"/>
              </w:rPr>
              <w:t> </w:t>
            </w:r>
          </w:p>
        </w:tc>
        <w:tc>
          <w:tcPr>
            <w:tcW w:w="10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0"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1,916.5</w:t>
            </w:r>
            <w:r>
              <w:rPr>
                <w:color w:val="000000"/>
              </w:rPr>
              <w:t> </w:t>
            </w:r>
          </w:p>
        </w:tc>
        <w:tc>
          <w:tcPr>
            <w:tcW w:w="341"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08"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2,033.1 </w:t>
            </w:r>
          </w:p>
        </w:tc>
        <w:tc>
          <w:tcPr>
            <w:tcW w:w="318"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2,030.5 </w:t>
            </w:r>
          </w:p>
        </w:tc>
        <w:tc>
          <w:tcPr>
            <w:tcW w:w="448"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 and commercial paper</w:t>
            </w:r>
          </w:p>
        </w:tc>
        <w:tc>
          <w:tcPr>
            <w:tcW w:w="109" w:type="dxa"/>
            <w:tcBorders/>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761.4</w:t>
            </w: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289.3 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2" w:type="dxa"/>
            <w:gridSpan w:val="3"/>
            <w:tcBorders>
              <w:top w:val="single" w:sz="2"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less current portion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2"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2"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1,150.1</w:t>
            </w:r>
            <w:r>
              <w:rPr>
                <w:color w:val="000000"/>
              </w:rPr>
              <w:t> </w:t>
            </w:r>
          </w:p>
        </w:tc>
        <w:tc>
          <w:tcPr>
            <w:tcW w:w="109" w:type="dxa"/>
            <w:tcBorders>
              <w:top w:val="single" w:sz="2"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0" w:type="dxa"/>
            <w:gridSpan w:val="2"/>
            <w:tcBorders>
              <w:top w:val="single" w:sz="2"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1,155.1</w:t>
            </w:r>
            <w:r>
              <w:rPr>
                <w:color w:val="000000"/>
              </w:rPr>
              <w:t> </w:t>
            </w:r>
          </w:p>
        </w:tc>
        <w:tc>
          <w:tcPr>
            <w:tcW w:w="341" w:type="dxa"/>
            <w:tcBorders>
              <w:top w:val="single" w:sz="2"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08" w:type="dxa"/>
            <w:gridSpan w:val="2"/>
            <w:tcBorders>
              <w:top w:val="single" w:sz="2"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1,743.8 </w:t>
            </w:r>
          </w:p>
        </w:tc>
        <w:tc>
          <w:tcPr>
            <w:tcW w:w="318" w:type="dxa"/>
            <w:tcBorders>
              <w:top w:val="single" w:sz="2"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2"/>
            <w:tcBorders>
              <w:top w:val="single" w:sz="2"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1,741.2 </w:t>
            </w:r>
          </w:p>
        </w:tc>
        <w:tc>
          <w:tcPr>
            <w:tcW w:w="448" w:type="dxa"/>
            <w:tcBorders>
              <w:top w:val="single" w:sz="2"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values of the Company’s debt instruments were estimated using observable market inputs, including quoted prices in active markets, market indices and interest rate measurements. Within the hierarchy of fair value measurements, these are Level 2 fair values.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17. Supplemental Cash Flow Information</w:t>
      </w:r>
    </w:p>
    <w:tbl>
      <w:tblPr>
        <w:tblW w:w="9160" w:type="dxa"/>
        <w:jc w:val="left"/>
        <w:tblInd w:w="0" w:type="dxa"/>
        <w:tblLayout w:type="fixed"/>
        <w:tblCellMar>
          <w:top w:w="28" w:type="dxa"/>
          <w:left w:w="28" w:type="dxa"/>
          <w:bottom w:w="28" w:type="dxa"/>
          <w:right w:w="28" w:type="dxa"/>
        </w:tblCellMar>
      </w:tblPr>
      <w:tblGrid>
        <w:gridCol w:w="2426"/>
        <w:gridCol w:w="2128"/>
        <w:gridCol w:w="2135"/>
        <w:gridCol w:w="223"/>
        <w:gridCol w:w="667"/>
        <w:gridCol w:w="115"/>
        <w:gridCol w:w="109"/>
        <w:gridCol w:w="109"/>
        <w:gridCol w:w="109"/>
        <w:gridCol w:w="332"/>
        <w:gridCol w:w="332"/>
        <w:gridCol w:w="475"/>
      </w:tblGrid>
      <w:tr>
        <w:trPr/>
        <w:tc>
          <w:tcPr>
            <w:tcW w:w="2426"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r>
          </w:p>
        </w:tc>
      </w:tr>
      <w:tr>
        <w:trPr/>
        <w:tc>
          <w:tcPr>
            <w:tcW w:w="6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July 4,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June 28, 2025</w:t>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paid during the periods for:</w:t>
            </w:r>
          </w:p>
        </w:tc>
        <w:tc>
          <w:tcPr>
            <w:tcW w:w="100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Income taxes </w:t>
            </w:r>
            <w:r>
              <w:rPr>
                <w:rFonts w:ascii="Times New Roman;serif" w:hAnsi="Times New Roman;serif"/>
                <w:b w:val="false"/>
                <w:color w:val="000000"/>
                <w:sz w:val="13"/>
              </w:rPr>
              <w:t>(1)</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155.2</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schedule of non-cash investing and financing activities:</w:t>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Unpaid property, plant and equipment in accounts payable and accrued expenses</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52.9</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Net of refunds received for the six months ended July 4, 2026</w:t>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ROU assets obtained in exchange for lease obligations:</w:t>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87.6</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223"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7"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w:t>
            </w:r>
            <w:r>
              <w:rPr>
                <w:color w:val="000000"/>
              </w:rPr>
              <w:t> </w:t>
            </w:r>
          </w:p>
        </w:tc>
        <w:tc>
          <w:tcPr>
            <w:tcW w:w="115"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75"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333" w:before="0" w:after="0"/>
        <w:jc w:val="left"/>
        <w:rPr/>
      </w:pPr>
      <w:hyperlink w:anchor="i1643453db6654ca39ea0a46a8e0a40e2_4">
        <w:r>
          <w:rPr>
            <w:rStyle w:val="InternetLink"/>
            <w:rFonts w:ascii="Times New Roman;serif" w:hAnsi="Times New Roman;serif"/>
            <w:b w:val="false"/>
            <w:color w:val="0000FF"/>
            <w:sz w:val="20"/>
            <w:u w:val="single"/>
          </w:rPr>
          <w:t>Table of Contents</w:t>
        </w:r>
      </w:hyperlink>
    </w:p>
    <w:p>
      <w:pPr>
        <w:pStyle w:val="TextBody"/>
        <w:bidi w:val="0"/>
        <w:spacing w:lineRule="auto" w:line="333"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Item 2.Management’s Discussion and Analysis of Financial Condition and Results of Operations</w:t>
      </w: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discussion and analysis of the Company’s financial condition and results of operations from management's perspective should be read in conjunction with the Company’s unaudited condensed consolidated financial statements and related notes included in this report, as well as the Company's audited consolidated financial statements for the year ended December 31, 2025, which are included in the Company's Annual Report on Form 10-K for the year ended December 31, 2025.</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References to “Mohawk,” “the Company,” “we,” “our” and “us” refer to Mohawk Industries, Inc. and its consolidated subsidiaries as a whole, unless the context otherwise requires.</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i/>
          <w:color w:val="000000"/>
          <w:sz w:val="20"/>
        </w:rPr>
      </w:pPr>
      <w:r>
        <w:rPr>
          <w:rFonts w:ascii="Times New Roman;serif" w:hAnsi="Times New Roman;serif"/>
          <w:b w:val="false"/>
          <w:i/>
          <w:color w:val="000000"/>
          <w:sz w:val="20"/>
        </w:rPr>
        <w:t>Business Summary</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Mohawk is a significant supplier of every major flooring category with manufacturing operations in 19 countries and sales in approximately 180 countries. Based on its annual sales, the Company believes it is the world’s largest flooring manufacturer. A majority of the Company’s long-lived assets are located in the United States and Europe, which are also the Company’s primary markets. Additionally, the Company maintains operations in Australia, Brazil, Malaysia, Mexico, New Zealand, Russia and other parts of the world. The Company is a leading provider of flooring for residential and commercial markets and has earned significant recognition for its innovation in design and performance as well as sustainable business practices. </w:t>
      </w:r>
    </w:p>
    <w:p>
      <w:pPr>
        <w:pStyle w:val="TextBody"/>
        <w:bidi w:val="0"/>
        <w:spacing w:before="0" w:after="0"/>
        <w:ind w:left="0" w:right="0" w:firstLine="720"/>
        <w:jc w:val="both"/>
        <w:rPr/>
      </w:pPr>
      <w:r>
        <w:rPr/>
      </w:r>
    </w:p>
    <w:p>
      <w:pPr>
        <w:pStyle w:val="TextBody"/>
        <w:bidi w:val="0"/>
        <w:spacing w:lineRule="auto" w:line="312" w:before="0" w:after="0"/>
        <w:jc w:val="both"/>
        <w:rPr>
          <w:rFonts w:ascii="Times New Roman;serif" w:hAnsi="Times New Roman;serif"/>
          <w:b w:val="false"/>
          <w:i/>
          <w:color w:val="000000"/>
          <w:sz w:val="20"/>
        </w:rPr>
      </w:pPr>
      <w:r>
        <w:rPr>
          <w:rFonts w:ascii="Times New Roman;serif" w:hAnsi="Times New Roman;serif"/>
          <w:b w:val="false"/>
          <w:i/>
          <w:color w:val="000000"/>
          <w:sz w:val="20"/>
        </w:rPr>
        <w:t>Macroeconomic Conditions</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commercial demand remained stable through the second quarter of 2026, continued softness in the U.S. and European housing markets, sluggish new home construction and a cautious consumer outlook negatively affected the Company’s markets. Housing turnover in the Company’s major regions remained near historically low levels, driven by affordability challenges, and broader economic uncertainty. The Company believes the ongoing housing shortage across its markets, stable employment conditions and wage growth, and record home equity levels may support greater participation in the housing market as consumer confidence improves, and aging housing stock and evolving family needs may support greater home renovation and remodeling. However, the ongoing impact of soft demand, inflationary pressures and elevated interest rates on the Company’s business, financial condition, results of operations, and prospects cannot be determined at this time.</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implemented a number of restructuring actions and operational improvements intended to support sales performance, improve product mix, reduce its cost structure and enhance long</w:t>
        <w:noBreakHyphen/>
        <w:t>term competitiveness. Cumulatively, restructuring actions initiated since 2022 are expected to deliver annualized benefits of approximately $360 million. In the second quarter of 2026, the Company announced a new group of restructuring projects across the business focused on strategic operational and administrative realignments, which will reduce the Company’s costs by approximately $60 million once completed. The Company believes these actions reflect its disciplined approach to capital allocation in the current environment. The Company remains focused on effectively managing near</w:t>
        <w:noBreakHyphen/>
        <w:t>term market conditions, pursuing profitable growth opportunities, and positioning the Company to benefit when housing activity recovers.</w:t>
      </w:r>
    </w:p>
    <w:p>
      <w:pPr>
        <w:pStyle w:val="TextBody"/>
        <w:bidi w:val="0"/>
        <w:spacing w:before="0" w:after="0"/>
        <w:jc w:val="left"/>
        <w:rPr/>
      </w:pPr>
      <w:r>
        <w:rPr/>
      </w:r>
    </w:p>
    <w:p>
      <w:pPr>
        <w:pStyle w:val="TextBody"/>
        <w:bidi w:val="0"/>
        <w:spacing w:lineRule="auto" w:line="312" w:before="0" w:after="0"/>
        <w:jc w:val="both"/>
        <w:rPr>
          <w:rFonts w:ascii="Times New Roman;serif" w:hAnsi="Times New Roman;serif"/>
          <w:b w:val="false"/>
          <w:i/>
          <w:color w:val="000000"/>
          <w:sz w:val="20"/>
        </w:rPr>
      </w:pPr>
      <w:r>
        <w:rPr>
          <w:rFonts w:ascii="Times New Roman;serif" w:hAnsi="Times New Roman;serif"/>
          <w:b w:val="false"/>
          <w:i/>
          <w:color w:val="000000"/>
          <w:sz w:val="20"/>
        </w:rPr>
        <w:t>Tariffs Update</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20, 2026, the U.S. Supreme Court ruled that certain tariffs imposed under the International Emergency Economic Powers Act (“IEEPA”) by the executive branch are not lawful. On March 4, 2026, the Court of International Trade (CIT) ordered U.S. Customs and Border Protection (CBP) to begin the refund process for all importers who were subject to IEEPA tariffs. The Company submitted its request on April 21, 2026, for reimbursement in the amount of $70.7 million, reflecting the amount of IEEPA tariffs it determined were paid while such tariffs were in effect.</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333" w:before="0" w:after="0"/>
        <w:jc w:val="left"/>
        <w:rPr/>
      </w:pPr>
      <w:hyperlink w:anchor="i1643453db6654ca39ea0a46a8e0a40e2_4">
        <w:r>
          <w:rPr>
            <w:rStyle w:val="InternetLink"/>
            <w:rFonts w:ascii="Times New Roman;serif" w:hAnsi="Times New Roman;serif"/>
            <w:b w:val="false"/>
            <w:color w:val="0000FF"/>
            <w:sz w:val="20"/>
            <w:u w:val="single"/>
          </w:rPr>
          <w:t>Table of Contents</w:t>
        </w:r>
      </w:hyperlink>
    </w:p>
    <w:p>
      <w:pPr>
        <w:pStyle w:val="TextBody"/>
        <w:bidi w:val="0"/>
        <w:spacing w:lineRule="auto" w:line="333" w:before="0" w:after="0"/>
        <w:ind w:left="0" w:right="0" w:firstLine="720"/>
        <w:jc w:val="both"/>
        <w:rPr/>
      </w:pPr>
      <w:r>
        <w:rPr>
          <w:rFonts w:ascii="Times New Roman;serif" w:hAnsi="Times New Roman;serif"/>
          <w:b w:val="false"/>
          <w:color w:val="000000"/>
          <w:sz w:val="20"/>
        </w:rPr>
        <w:t xml:space="preserve">As the nature, timing, and extent of any such refunds were uncertain, the Company elected to account for refunds as gain contingencies, based on the original tariff cost recognition in accordance with ASC 450, </w:t>
      </w:r>
      <w:r>
        <w:rPr>
          <w:rFonts w:ascii="Times New Roman;serif" w:hAnsi="Times New Roman;serif"/>
          <w:b w:val="false"/>
          <w:i/>
          <w:color w:val="000000"/>
          <w:sz w:val="20"/>
        </w:rPr>
        <w:t xml:space="preserve">Contingencies </w:t>
      </w:r>
      <w:r>
        <w:rPr>
          <w:rFonts w:ascii="Times New Roman;serif" w:hAnsi="Times New Roman;serif"/>
          <w:b w:val="false"/>
          <w:color w:val="000000"/>
          <w:sz w:val="20"/>
        </w:rPr>
        <w:t>(“ASC 450”). As of July 4, 2026, the Company has received $65.5 million in reimbursements. During the three and six months ended July 4, 2026, the Company reduced cost of sales by $49.3 million, effectively reversing the IEEPA tariff expense previously recognized in connection with inventory sold to customers since the tariffs were enacted in the first quarter of 2025, and reduced the carrying value of inventory and property, plant and equipment by $12.8 million and $3.4 million, respectively.</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Notwithstanding the foregoing, uncertainty remains regarding the ultimate outcome and timing of recovery of these refunds, and any anticipated refunds may be delayed, reduced, or denied. The CIT order has been appealed by the U.S. government, and a successful appeal could delay, reduce or deny the funds described above. To the extent the Company is unable to recover tariffs previously paid, its results of operations, cash flows, and financial condition could be adversely affected. The Company will continue to monitor U.S. tariff-related developments and any associated impacts on its consolidated financial statements.</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i/>
          <w:color w:val="000000"/>
          <w:sz w:val="20"/>
        </w:rPr>
      </w:pPr>
      <w:r>
        <w:rPr>
          <w:rFonts w:ascii="Times New Roman;serif" w:hAnsi="Times New Roman;serif"/>
          <w:b w:val="false"/>
          <w:i/>
          <w:color w:val="000000"/>
          <w:sz w:val="20"/>
        </w:rPr>
        <w:t>Geopolitical Conflicts</w:t>
      </w: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Due to its global footprint, Mohawk’s business is sensitive to geopolitical conflicts. The ongoing conflicts in the Middle East region have resulted in fluctuating energy prices, including for fuel, oil and natural gas, and have resulted in supply chain disruptions and increased transportation barriers that have adversely impacted the Company’s cost of sales. Higher energy and fuel prices have also negatively affected consumer confidence, contributing to the deferral of discretionary purchases and soft market conditions. In addition, the Company maintains operations in Russia through its Global Ceramic and Flooring ROW reporting segments. The Company continues to face legal, regulatory, financial, operational and reputational risks due to its Russian operations. For more information, please refer to Risk Factors, “The Company faces risks and uncertainties related to its operations in Russia” in Part I, Item 1A of the Company’s Annual Report in Form 10-K for the year ended December 31, 2025. </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 escalation or continuation of conflicts in the Middle East, Russia, Ukraine, and elsewhere could result in additional supply chain disruptions, higher energy and raw material prices, increased transportation barriers and decreased market demand. The extent to which these conflicts may affect the Company’s business, financial condition, results of operations and prospects cannot be predicted. More broadly, ongoing military conflicts may result in economic sanctions or embargoes, regional instability, geopolitical shifts, retaliatory actions (including the potential nationalization of foreign</w:t>
        <w:noBreakHyphen/>
        <w:t>owned businesses), increased tensions between the U.S. and countries in which the Company operates, and adverse impacts on the global economy, any of which could negatively affect the Company’s business and results of operations.</w:t>
      </w:r>
    </w:p>
    <w:p>
      <w:pPr>
        <w:pStyle w:val="TextBody"/>
        <w:bidi w:val="0"/>
        <w:spacing w:before="0" w:after="0"/>
        <w:ind w:left="0" w:right="0" w:firstLine="720"/>
        <w:jc w:val="both"/>
        <w:rPr/>
      </w:pPr>
      <w:r>
        <w:rPr/>
      </w:r>
    </w:p>
    <w:p>
      <w:pPr>
        <w:pStyle w:val="TextBody"/>
        <w:bidi w:val="0"/>
        <w:spacing w:lineRule="auto" w:line="333" w:before="0" w:after="0"/>
        <w:jc w:val="both"/>
        <w:rPr>
          <w:rFonts w:ascii="Times New Roman;serif" w:hAnsi="Times New Roman;serif"/>
          <w:b w:val="false"/>
          <w:i/>
          <w:color w:val="000000"/>
          <w:sz w:val="20"/>
        </w:rPr>
      </w:pPr>
      <w:r>
        <w:rPr>
          <w:rFonts w:ascii="Times New Roman;serif" w:hAnsi="Times New Roman;serif"/>
          <w:b w:val="false"/>
          <w:i/>
          <w:color w:val="000000"/>
          <w:sz w:val="20"/>
        </w:rPr>
        <w:t>Liquidity and Capital Expenditures Overview</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0"/>
        </w:rPr>
        <w:t xml:space="preserve">The Company believes it is well positioned with a strong balance sheet. Based on its current liquidity and available credit, the Company is in a position to finance internal investments, acquisitions and/or additional stock purchases and pay current debt as it becomes due. For information on risks that could impact the Company’s results, please refer to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Part I, Item 1A of the Company’s Form 10-K for the year ended December 31, 2025.</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2026, the Company plans to invest approximately $460 million in capital expenditures focused on completing capacity expansion projects and targeted initiatives that will drive cost reduction while improving operational performance.</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July 4, 2026, the net earnings attributable to the Company were $196.1 million compared to the net earnings attributable to the Company of $146.5 million for the three months ended June 28, 2025. The change was primarily attributable to increased productivity; improved price and mix; higher volume, and the favorable net impact of foreign exchange rates, offset by higher input costs, which are inclusive of tariff refunds, driven by the impact of inflation as well as a higher effective tax rate.</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333" w:before="0" w:after="0"/>
        <w:jc w:val="left"/>
        <w:rPr/>
      </w:pPr>
      <w:hyperlink w:anchor="i1643453db6654ca39ea0a46a8e0a40e2_4">
        <w:r>
          <w:rPr>
            <w:rStyle w:val="InternetLink"/>
            <w:rFonts w:ascii="Times New Roman;serif" w:hAnsi="Times New Roman;serif"/>
            <w:b w:val="false"/>
            <w:color w:val="0000FF"/>
            <w:sz w:val="20"/>
            <w:u w:val="single"/>
          </w:rPr>
          <w:t>Table of Contents</w:t>
        </w:r>
      </w:hyperlink>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July 4, 2026, the net earnings attributable to the Company were $313.2 million compared to the net earnings attributable to the Company of $219.0 million for the six months ended June 28, 2025. The change was primarily attributable to increased productivity; improved price and mix, and more shipping days, offset by higher input costs driven by the impact of inflation.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333" w:before="0" w:after="0"/>
        <w:jc w:val="left"/>
        <w:rPr/>
      </w:pPr>
      <w:hyperlink w:anchor="i1643453db6654ca39ea0a46a8e0a40e2_4">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 xml:space="preserve">Quarter Ended July 4, 2026, as compared with Quarter Ended June 28, 2025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Net sales</w:t>
      </w: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sales for the three months ended July 4, 2026, were $2,991.4 million, reflecting an increase of $189.3 million, or 6.8%, from $2,802.1 million reported for the three months ended June 28, 2025. The increase was primarily attributable to higher sales volume of approximately $78 million; the favorable net impact of price and product mix of approximately $67 million; and the favorable net impact of foreign exchange rates of approximately $61 million, partially offset by fewer shipping days for the quarter ended July 4, 2026, of approximately $13 million.</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Global Ceramic—Net sales for the three months ended July 4, 2026, were $1,209.7 million, reflecting an increase of $88.8 million, or 7.9%, from $1,120.9 million reported for the three months ended June 28, 2025. The increase was primarily attributable to higher sales volume of approximately $38 million; the favorable net impact of foreign exchange rates of approximately $35 million; and the favorable net impact of price and product mix of approximately $17 million.</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Flooring NA—Net sales for the three months ended July 4, 2026, were $976.1 million, reflecting an increase of $29.3 million, or 3.1%, from $946.8 million reported for the three months ended June 28, 2025. The increase was primarily attributable to higher sales volume of approximately $40 million, partially offset by fewer shipping days for the quarter ended July 4, 2026, of approximately $15 million.</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Flooring ROW—Net sales for the three months ended July 4, 2026, were $805.6 million, reflecting an increase of $71.2 million, or 9.7%, from $734.4 million for the three months ended June 28, 2025. The increase was primarily attributable to the favorable net impact of price and product mix of approximately $46 million and the favorable net impact of foreign exchange rates of approximately $26 million.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Gross profit</w:t>
      </w: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Gross profit for the three months ended July 4, 2026, was $795.1 million, an increase of $80.7 million, or 11.3%, compared to gross profit of $714.4 million for the three months ended June 28, 2025. The change was primarily attributable to the favorable net impact of price and product mix of approximately $54 million; productivity gains of approximately $31 million; and higher sales volume of approximately $16 million, partially offset by higher input costs of approximately $19 million which are net of tariff refunds and the unfavorable impact of temporary plant shutdowns of approximately $10 million.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Selling, general and administrative expenses</w:t>
      </w: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for the three months ended July 4, 2026, were $541.4 million, an increase of $15.7 million compared to $525.7 million for the three months ended June 28, 2025. Selling, general and administrative expenses did not significantly change as a percentage of net sales for the three months ended July 4, 2026, compared to the three months ended June 28, 2025.</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Operating income (loss)</w:t>
      </w: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Operating income for the three months ended July 4, 2026, was $253.7 million, reflecting an increase of $65.0 million, or 34.4%, compared to operating income of $188.7 million for the three months ended June 28, 2025. The increase in operating income was primarily attributable to the favorable net impact of price and product mix of approximately $54 million; productivity gains of approximately $43 million; and higher sales volume of approximately $13 million, partially offset by higher input costs of approximately $28 million which are net of tariff refunds and the unfavorable impact of temporary plant shutdowns of approximately $10 million.</w:t>
      </w: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Global Ceramic—Operating income was $94.1 million for the three months ended July 4, 2026, reflecting an increase of $5.9 million compared to operating income of $88.2 million for the three months ended June 28, 2025. The increase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333" w:before="0" w:after="0"/>
        <w:jc w:val="left"/>
        <w:rPr/>
      </w:pPr>
      <w:hyperlink w:anchor="i1643453db6654ca39ea0a46a8e0a40e2_4">
        <w:r>
          <w:rPr>
            <w:rStyle w:val="InternetLink"/>
            <w:rFonts w:ascii="Times New Roman;serif" w:hAnsi="Times New Roman;serif"/>
            <w:b w:val="false"/>
            <w:color w:val="0000FF"/>
            <w:sz w:val="20"/>
            <w:u w:val="single"/>
          </w:rPr>
          <w:t>Table of Contents</w:t>
        </w:r>
      </w:hyperlink>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operating income was primarily attributable to productivity gains of approximately $20 million and the favorable net impact of price and product mix of approximately $13 million, partially offset by higher input costs of approximately $20 million which are net of tariff refunds.</w:t>
      </w: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Flooring NA—Operating income was $97.8 million for the three months ended July 4, 2026, reflecting an increase of $45.3 million compared to operating income of $52.5 million for the three months ended June 28, 2025. The increase in operating income was primarily attributable to productivity gains of approximately $21 million and lower input costs of approximately $18 million which are net of tariff refunds.</w:t>
      </w: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Flooring ROW—Operating income was $78.7 million for the three months ended July 4, 2026, reflecting an increase of $12.9 million compared to operating income of $65.8 million for the three months ended June 28, 2025. The increase in operating income was primarily attributable to the favorable net impact of price and product mix of approximately $41 million, partially offset by higher input costs of approximately $23 million.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Interest expense </w:t>
      </w: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expense was $4.8 million for the three months ended July 4, 2026, reflecting a decrease of $0.4 million compared to interest expense of $5.2 million for the three months ended June 28, 2025. Interest expense did not significantly change for the three months ended July 4, 2026, from the three months ended June 28, 2025.</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Other (income) expense, net </w:t>
      </w: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expense, net was $0.4 million for the three months ended July 4, 2026, compared to other expense, net of $3.0 million for the three months ended June 28, 2025. Other income and expense, net did not significantly change for the three months ended July 4, 2026, from the three months ended June 28, 2025.</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Income tax expense</w:t>
      </w: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July 4, 2026, the Company recorded income tax expense of $52.3 million on earnings before income taxes of $248.5 million, for an effective tax rate of 21.0%. For the three months ended June 28, 2025, the Company recorded income tax expense of $34.0 million on earnings before income taxes of $180.5 million, for an effective tax rate of 18.8%. The increase in the effective tax rate was primarily attributable to the Company’s geographic dispersion of profits and losses for the respective periods and a non-recurring benefit recorded during the three months ended June 28, 2025 related to a prior period Italian tax benefit. These unfavorable impacts were partially offset by a smaller increase in unrecognized tax benefits during the three months ended July 4, 2026.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333" w:before="0" w:after="0"/>
        <w:jc w:val="left"/>
        <w:rPr/>
      </w:pPr>
      <w:hyperlink w:anchor="i1643453db6654ca39ea0a46a8e0a40e2_4">
        <w:r>
          <w:rPr>
            <w:rStyle w:val="InternetLink"/>
            <w:rFonts w:ascii="Times New Roman;serif" w:hAnsi="Times New Roman;serif"/>
            <w:b w:val="false"/>
            <w:color w:val="0000FF"/>
            <w:sz w:val="20"/>
            <w:u w:val="single"/>
          </w:rPr>
          <w:t>Table of Contents</w:t>
        </w:r>
      </w:hyperlink>
    </w:p>
    <w:p>
      <w:pPr>
        <w:pStyle w:val="TextBody"/>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 xml:space="preserve">Six Months Ended July 4, 2026, as compared with Six Months Ended June 28, 2025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Net sales</w:t>
      </w: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sales for the six months ended July 4, 2026, were $5,720.1 million, reflecting an increase of $392.2 million, or 7.4%, from $5,327.9 million reported for the six months ended June 28, 2025. The increase was primarily attributable to the favorable net impact of foreign exchange rates of approximately $188 million; more shipping days for the six months ended July 4, 2026, of approximately $130 million; the favorable net impact of price and product mix of approximately $52 million, and the $50 million favorable current year comparative impact of the order management system conversion, partially offset by lower sales volume of approximately $23 million.</w:t>
      </w: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Global Ceramic—Net sales for the six months ended July 4, 2026, were $2,307.1 million, reflecting an increase of $192.4 million, or 9.1%, from $2,114.7 million reported for the six months ended June 28, 2025. The increase was primarily attributable to the favorable net impact of foreign exchange rates of approximately $92 million; more shipping days for the six months ended July 4, 2026, of approximately $51 million; higher sales volume of approximately $23 million and the favorable net impact of price and product mix of approximately $34 million.</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Flooring NA—Net sales for the six months ended July 4, 2026, were $1,856.1 million, reflecting an increase of $46.9 million, or 2.6%, from $1,809.2 million reported for the six months ended June 28, 2025. The increase was primarily attributable to the $50 million favorable current year comparative impact of the order management system conversion and more shipping days for the six months ended July 4, 2026, of approximately $38 million, partially offset by lower sales volume of approximately $23 million and the unfavorable net impact of price and product mix of approximately $21 million.</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Flooring ROW—Net sales for the six months ended July 4, 2026, were $1,556.9 million, reflecting an increase of $152.9 million, or 10.9%, from $1,404.0 million reported for the six months ended June 28, 2025. The increase was primarily attributable to the favorable net impact of foreign exchange rates of approximately $96 million; more shipping days for the six months ended July 4, 2026, of approximately $41 million; the favorable net impact of price and product mix of approximately $39 million, offset by lower sales volume of approximately $23 million.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Gross profit</w:t>
      </w: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Gross profit for the six months ended July 4, 2026, was $1,437.0 million, an increase of $139.3 million or 10.7%, compared to gross profit of $1,297.7 million for the six months ended June 28, 2025. The increase in gross profit dollars was primarily attributable to productivity gains of approximately $63 million; the favorable net impact of price and product mix of approximately $61 million; more shipping days for the six months ended July 4, 2026, of approximately $32 million; the favorable net impact of foreign exchange rates of approximately $29 million, and the $25 million favorable current year comparative impact of the order management system conversion, partially offset by higher input costs of approximately $48 million which are net of tariff refunds.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Selling, general and administrative expenses</w:t>
      </w: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for the six months ended July 4, 2026, were $1,071.5 million, an increase of $58.6 million compared to $1,012.9 million for the six months ended June 28, 2025. Selling, general and administrative expenses did not significantly change as a percentage of net sales for the six months ended July 4, 2026, compared to the six months ended June 28, 2025.</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Operating income (loss)</w:t>
      </w: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income for the six months ended July 4, 2026, was $365.5 million, reflecting an increase of $80.7 million, or 28.3%, compared to operating income of $284.8 million for the six months ended June 28, 2025. The increase in operating income was primarily attributable to productivity gains of approximately $79 million and the favorable net impact of price and product mix of approximately $61 million; the $30 million favorable current year comparative impact of the order management system conversion, and higher sales volume of approximately $14 million; partially offset by higher input costs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333" w:before="0" w:after="0"/>
        <w:jc w:val="left"/>
        <w:rPr/>
      </w:pPr>
      <w:hyperlink w:anchor="i1643453db6654ca39ea0a46a8e0a40e2_4">
        <w:r>
          <w:rPr>
            <w:rStyle w:val="InternetLink"/>
            <w:rFonts w:ascii="Times New Roman;serif" w:hAnsi="Times New Roman;serif"/>
            <w:b w:val="false"/>
            <w:color w:val="0000FF"/>
            <w:sz w:val="20"/>
            <w:u w:val="single"/>
          </w:rPr>
          <w:t>Table of Contents</w:t>
        </w:r>
      </w:hyperlink>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approximately $67 million which are net of tariff refunds, and higher restructuring, acquisition and integration-related costs, and other costs of approximately $13 million.</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Global Ceramic—Operating income was $145.4 million for the six months ended July 4, 2026, reflecting an increase of $15.4 million compared to operating income of $130.0 million for the six months ended June 28, 2025. The increase in operating income was primarily attributable to productivity gains of approximately $41 million; the favorable net impact of price and product mix of approximately $25 million and higher sales volume of approximately $10 million, partially offset by higher input costs of approximately $50 million which are net of tariff refunds.</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Flooring NA—Operating income was $101.5 million for the six months ended July 4, 2026, reflecting an increase of $39.7 million compared to operating income of $61.8 million for the six months ended June 28, 2025. The increase in operating income was primarily attributable to productivity gains of approximately $27 million, and the $30 million favorable current year comparative impact of the order management system conversion, as well as lower input costs of approximately $10 million which are net of tariff refunds, partially offset by higher restructuring, acquisition and integration-related, and other costs of approximately $12 million, and increased shutdown costs of approximately $7 million.</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Flooring ROW—Operating income was $149.2 million for the six months ended July 4, 2026, reflecting an increase of $24.7 million compared to operating income of $124.5 million for the six months ended June 28, 2025. The increase in operating income was primarily attributable to the favorable net impact of price and product mix of approximately $36 million; productivity gains of approximately $10 million, partially offset by higher input costs of approximately $17 million.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Interest expense </w:t>
      </w: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expense was $7.1 million for the six months ended July 4, 2026, reflecting a decrease of $4.5 million compared to interest expense of $11.6 million for the six months ended June 28, 2025. The decrease was primarily attributable to cash flow generation, resulting in lower financing needs.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Other (income) expense, net </w:t>
      </w: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expense, net was $1.7 million for the six months ended July 4, 2026, reflecting a favorable change of $1.0 million compared to other expense, net of $2.7 million for the six months ended June 28, 2025. Other expense, net did not significantly change for the six months ended July 4, 2026, from the six months ended June 28, 2025.</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Income tax expense</w:t>
      </w: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July 4, 2026, the Company recorded income tax expense of $43.4 million on earnings before income taxes of $356.7 million, for an effective tax rate of 12.2%. For the six months ended June 28, 2025, the Company recorded income tax expense of $51.5 million on earnings before income taxes of $270.5 million for an effective tax rate of 19.0%. The decrease in the effective tax rate was primarily attributable to a smaller increase in unrecognized tax benefits during the three months ended July 4, 2026 and tax benefits recognized during the six months ended July 4, 2026, including (i) a one-time tax benefit associated with a legal entity restructuring initiative, (ii) tax credits issued by the Brazilian government related to prior years, and (iii) a foreign tax credit benefit recorded in connection with a U.S. amended return. These favorable impacts were partially offset by the Company’s geographic dispersion of profits and losses for the respective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333" w:before="0" w:after="0"/>
        <w:jc w:val="left"/>
        <w:rPr/>
      </w:pPr>
      <w:hyperlink w:anchor="i1643453db6654ca39ea0a46a8e0a40e2_4">
        <w:r>
          <w:rPr>
            <w:rStyle w:val="InternetLink"/>
            <w:rFonts w:ascii="Times New Roman;serif" w:hAnsi="Times New Roman;serif"/>
            <w:b w:val="false"/>
            <w:color w:val="0000FF"/>
            <w:sz w:val="20"/>
            <w:u w:val="single"/>
          </w:rPr>
          <w:t>Table of Contents</w:t>
        </w:r>
      </w:hyperlink>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primary capital requirements are for working capital, capital expenditures and acquisitions. The Company’s capital needs are met primarily through a combination of internally generated funds, commercial paper, bank credit lines, term and senior notes and credit terms from suppliers. </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in the first six months of 2026 was $426.6 million, compared to net cash provided by operating activities of $210.0 million in the first six months of 2025. The change was primarily attributable to higher net earnings and the changes in accounts receivable, accounts payable, and inventories.</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in the first six months of 2026 was $187.3 million compared to net cash used in investing activities of $169.3 million in the first six months of 2025. The change was primarily attributable to the increase in capital expenditures of $21.3 million for the six months ended July 4, 2026, compared to the six months ended June 28, 2025.</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in the first six months of 2026 was $247.9 million compared to net cash used in financing activities of $205.1 million in the first six months of 2025. The change was primarily attributable to higher share repurchases of $56.5 million and lower net proceeds on the Senior Credit Facility of $25.9 million as compared to the first six months of 2025, offset by lower net repayments on Commercial Paper of $98.9 million in the first six months of 2026 as compared to net repayments of $144.5 million in the first six months of 2025. </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July 4, 2026, the Company had cash of $849.6 million, of which $289.0 million was in the United States and $560.6 million was in foreign countries, including approximately 35% of the Company’s cash and cash equivalents held in Russia. The Company believes that its cash and cash equivalents on hand, cash generated from operations and availability under its existing credit facilities will be sufficient to meet its capital expenditure, working capital and debt servicing requirements over at least the next twelve months. The Company plans to permanently reinvest the cash held outside the United States. The Company believes that its cash and cash equivalents, cash generated from operations, and availability under its Senior Credit Facility will be sufficient to meet its planned capital expenditures, working capital investments and debt servicing requirements over the next twelve months. The Company continually evaluates its projected needs and may conduct additional debt financings, subject to market conditions, to increase its liquidity and to take advantage of attractive financing opportunities. </w:t>
      </w:r>
    </w:p>
    <w:p>
      <w:pPr>
        <w:pStyle w:val="TextBody"/>
        <w:bidi w:val="0"/>
        <w:spacing w:before="0" w:after="0"/>
        <w:jc w:val="both"/>
        <w:rPr/>
      </w:pPr>
      <w:r>
        <w:rPr/>
      </w:r>
    </w:p>
    <w:p>
      <w:pPr>
        <w:pStyle w:val="TextBody"/>
        <w:bidi w:val="0"/>
        <w:spacing w:lineRule="auto" w:line="312"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24, 2025, the Company’s Board of Directors approved a new share repurchase program, authorizing the Company to repurchase up to $500 million of its common stock (the “Share Repurchase Program”). For the three months ended July 4, 2026, the Company purchased $59.4 million of its common stock under the Share Repurchase Program. As of July 4, 2026, there remained $295.6 million authorized under the Share Repurchase Program. </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0"/>
        </w:rPr>
        <w:t xml:space="preserve">See Note 16, </w:t>
      </w:r>
      <w:r>
        <w:rPr>
          <w:rFonts w:ascii="Times New Roman;serif" w:hAnsi="Times New Roman;serif"/>
          <w:b w:val="false"/>
          <w:i/>
          <w:color w:val="000000"/>
          <w:sz w:val="20"/>
        </w:rPr>
        <w:t>Debt</w:t>
      </w:r>
      <w:r>
        <w:rPr>
          <w:rFonts w:ascii="Times New Roman;serif" w:hAnsi="Times New Roman;serif"/>
          <w:b w:val="false"/>
          <w:color w:val="000000"/>
          <w:sz w:val="20"/>
        </w:rPr>
        <w:t>, of the notes to the Condensed Consolidated Financial Statements included in Part I, Item 1 of this Form 10-Q for further discussion of the Company’s long-term debt. The Company may continue, from time to time, to retire its outstanding debt through cash purchases in the open market, privately negotiated transactions or otherwise. Such repurchases, if any, will depend on prevailing market conditions, the Company’s liquidity requirements, contractual restrictions and other factors. The amount involved may be material.</w:t>
      </w:r>
    </w:p>
    <w:p>
      <w:pPr>
        <w:pStyle w:val="TextBody"/>
        <w:bidi w:val="0"/>
        <w:spacing w:before="0" w:after="0"/>
        <w:ind w:left="0" w:right="0" w:firstLine="720"/>
        <w:jc w:val="both"/>
        <w:rPr/>
      </w:pPr>
      <w:r>
        <w:rPr/>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significant changes to the Company’s contractual obligations as disclosed in the Company’s 2025 Annual Report filed on Form 10-K except as described herein. </w:t>
      </w:r>
    </w:p>
    <w:p>
      <w:pPr>
        <w:pStyle w:val="TextBody"/>
        <w:bidi w:val="0"/>
        <w:spacing w:lineRule="auto" w:line="333"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333" w:before="0" w:after="0"/>
        <w:jc w:val="left"/>
        <w:rPr/>
      </w:pPr>
      <w:hyperlink w:anchor="i1643453db6654ca39ea0a46a8e0a40e2_4">
        <w:r>
          <w:rPr>
            <w:rStyle w:val="InternetLink"/>
            <w:rFonts w:ascii="Times New Roman;serif" w:hAnsi="Times New Roman;serif"/>
            <w:b w:val="false"/>
            <w:color w:val="0000FF"/>
            <w:sz w:val="20"/>
            <w:u w:val="single"/>
          </w:rPr>
          <w:t>Table of Contents</w:t>
        </w:r>
      </w:hyperlink>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have been no significant changes to the Company’s critical accounting policies and estimates during the period. The Company's critical accounting policies are described in its 2025 Annual Report filed on Form 10-K.</w:t>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333" w:before="0" w:after="0"/>
        <w:jc w:val="left"/>
        <w:rPr/>
      </w:pPr>
      <w:hyperlink w:anchor="i1643453db6654ca39ea0a46a8e0a40e2_4">
        <w:r>
          <w:rPr>
            <w:rStyle w:val="InternetLink"/>
            <w:rFonts w:ascii="Times New Roman;serif" w:hAnsi="Times New Roman;serif"/>
            <w:b w:val="false"/>
            <w:color w:val="0000FF"/>
            <w:sz w:val="20"/>
            <w:u w:val="single"/>
          </w:rPr>
          <w:t>Table of Contents</w:t>
        </w:r>
      </w:hyperlink>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Impact of Inflation</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Inflation affects the Company’s manufacturing costs, distribution costs and operating expenses. The Company expects raw material prices, many of which are petroleum-based, to fluctuate based upon worldwide supply and demand for commodities used in the Company’s production processes. Although the Company attempts to pass on increases in raw material, labor, energy and fuel-related costs to its customers, the Company’s ability to do so is dependent upon the rate and magnitude of any increase, competitive pressures and market conditions for the Company’s products. There have been in the past, and may be in the future, periods of time during which increases in these costs cannot be fully recovered. In the past, the Company has often been able to enhance productivity and develop new product innovations to help offset increases in costs resulting from inflation in its operations.</w:t>
      </w:r>
    </w:p>
    <w:p>
      <w:pPr>
        <w:pStyle w:val="TextBody"/>
        <w:bidi w:val="0"/>
        <w:spacing w:before="0" w:after="0"/>
        <w:ind w:left="0" w:right="0" w:firstLine="720"/>
        <w:jc w:val="both"/>
        <w:rPr/>
      </w:pPr>
      <w:r>
        <w:rPr/>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did not have any off-balance sheet arrangements as of July 4, 2026.</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 calendar year-end company. Global Ceramic and Flooring NA typically have higher net sales in the second and third quarters. Flooring ROW typically has higher net sales in the second and fourth quarters. Because periods of economic downturn can affect the seasonality of each segment, sales for any one quarter are not necessarily indicative of the sales that may be achieved for any other quarter or for the full year.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Item 3.Quantitative and Qualitative Disclosures About Market Risk</w:t>
      </w:r>
    </w:p>
    <w:p>
      <w:pPr>
        <w:pStyle w:val="TextBody"/>
        <w:bidi w:val="0"/>
        <w:spacing w:before="0" w:after="0"/>
        <w:jc w:val="left"/>
        <w:rPr/>
      </w:pPr>
      <w:r>
        <w:rPr/>
      </w:r>
    </w:p>
    <w:p>
      <w:pPr>
        <w:pStyle w:val="TextBody"/>
        <w:bidi w:val="0"/>
        <w:spacing w:lineRule="auto" w:line="312"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July 4, 2026, approximately 91% of the Company’s debt portfolio was comprised of fixed-rate debt and 9% was floating-rate debt. A 1.0 percentage point increase in the interest rate of the floating-rate debt would have resulted in an increase in interest expense of $0.8 million for the three months ended July 4, 2026.</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have been no significant changes to the Company’s exposure to market risk as disclosed in the Company’s 2025 Annual Report filed on Form 10-K.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333" w:before="0" w:after="0"/>
        <w:jc w:val="left"/>
        <w:rPr/>
      </w:pPr>
      <w:hyperlink w:anchor="i1643453db6654ca39ea0a46a8e0a40e2_4">
        <w:r>
          <w:rPr>
            <w:rStyle w:val="InternetLink"/>
            <w:rFonts w:ascii="Times New Roman;serif" w:hAnsi="Times New Roman;serif"/>
            <w:b w:val="false"/>
            <w:color w:val="0000FF"/>
            <w:sz w:val="20"/>
            <w:u w:val="single"/>
          </w:rPr>
          <w:t>Table of Contents</w:t>
        </w:r>
      </w:hyperlink>
    </w:p>
    <w:p>
      <w:pPr>
        <w:pStyle w:val="TextBody"/>
        <w:bidi w:val="0"/>
        <w:spacing w:lineRule="auto" w:line="333"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Item 4.Controls and Procedures</w:t>
      </w:r>
    </w:p>
    <w:p>
      <w:pPr>
        <w:pStyle w:val="TextBody"/>
        <w:bidi w:val="0"/>
        <w:spacing w:before="0" w:after="0"/>
        <w:ind w:left="0" w:right="0" w:hanging="36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on an evaluation of the effectiveness of the Company’s disclosure controls and procedures (as defined in Rules 13a-15(e) and 15d-15(e) under the Securities Exchange Act of 1934, as amended), which have been designed to provide reasonable assurance that such controls and procedures will meet their objectives, as of the end of the period covered by this report, the Company’s Chief Executive Officer and Chief Financial Officer have concluded that such controls and procedures were effective at a reasonable assurance level for the period covered by this report.</w:t>
      </w:r>
    </w:p>
    <w:p>
      <w:pPr>
        <w:pStyle w:val="TextBody"/>
        <w:bidi w:val="0"/>
        <w:spacing w:before="11" w:after="283"/>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changes in the Company’s internal control over financial reporting that occurred during the period covered by this report that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333" w:before="0" w:after="0"/>
        <w:jc w:val="left"/>
        <w:rPr/>
      </w:pPr>
      <w:hyperlink w:anchor="i1643453db6654ca39ea0a46a8e0a40e2_4">
        <w:r>
          <w:rPr>
            <w:rStyle w:val="InternetLink"/>
            <w:rFonts w:ascii="Times New Roman;serif" w:hAnsi="Times New Roman;serif"/>
            <w:b w:val="false"/>
            <w:color w:val="0000FF"/>
            <w:sz w:val="20"/>
            <w:u w:val="single"/>
          </w:rPr>
          <w:t>Table of Contents</w:t>
        </w:r>
      </w:hyperlink>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Item 1.Legal Proceedings</w:t>
      </w:r>
    </w:p>
    <w:p>
      <w:pPr>
        <w:pStyle w:val="TextBody"/>
        <w:bidi w:val="0"/>
        <w:spacing w:before="0" w:after="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involved in various lawsuits, claims, investigations and other legal matters from time to time in the regular course of its business. Except as noted elsewhere in this report, there are no material legal proceedings pending or known by the Company to be contemplated to which the Company is a party or to which any of its property is subject.</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0"/>
        </w:rPr>
        <w:t xml:space="preserve">See Note 15, </w:t>
      </w:r>
      <w:r>
        <w:rPr>
          <w:rFonts w:ascii="Times New Roman;serif" w:hAnsi="Times New Roman;serif"/>
          <w:b w:val="false"/>
          <w:i/>
          <w:color w:val="000000"/>
          <w:sz w:val="20"/>
        </w:rPr>
        <w:t xml:space="preserve">Commitments and Contingencies, </w:t>
      </w:r>
      <w:r>
        <w:rPr>
          <w:rFonts w:ascii="Times New Roman;serif" w:hAnsi="Times New Roman;serif"/>
          <w:b w:val="false"/>
          <w:color w:val="000000"/>
          <w:sz w:val="20"/>
        </w:rPr>
        <w:t>of the notes to the Condensed Consolidated Financial Statements included in Part I, Item 1 of this Form 10-Q for a discussion of the Company’s legal proceedings.</w:t>
      </w:r>
    </w:p>
    <w:p>
      <w:pPr>
        <w:pStyle w:val="TextBody"/>
        <w:bidi w:val="0"/>
        <w:spacing w:before="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Item 1A.Risk Factors</w:t>
      </w: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in the Company’s risk factors from those disclosed in Part I, Item 1A to the Company’s Annual Report on Form 10-K for the year ended December 31, 2025. The risk factors disclosed in these reports, in addition to the other information set forth in this report, could materially affect the Company's business, financial condition or results.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Item 2.Unregistered Sales of Equity Securities and Use of Proceeds</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24, 2025, the Company’s Board of Directors approved a new share repurchase program, authorizing the Company to repurchase up to $500 million of its common stock (the “Share Repurchase Program”). For the three months ended July 4, 2026, the Company purchased $59.4 million of its common stock under the Share Repurchase Program. As of July 4, 2026, there remained $295.6 million authorized under the Share Repurchase Program.</w:t>
      </w:r>
    </w:p>
    <w:p>
      <w:pPr>
        <w:pStyle w:val="TextBody"/>
        <w:bidi w:val="0"/>
        <w:spacing w:before="0" w:after="0"/>
        <w:ind w:left="0" w:right="0" w:firstLine="720"/>
        <w:jc w:val="both"/>
        <w:rPr/>
      </w:pPr>
      <w:r>
        <w:rPr/>
      </w:r>
    </w:p>
    <w:p>
      <w:pPr>
        <w:pStyle w:val="TextBody"/>
        <w:bidi w:val="0"/>
        <w:spacing w:lineRule="auto" w:line="312"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Share Repurchase Program, the Company may purchase common stock in open market transactions, block or privately negotiated transactions, and may from time to time purchase shares pursuant to trading plans in accordance with Rules 10b5-1 or 10b-18 under the Exchange Act or by any combination of such methods. The number of shares to be purchased and the timing of the purchases are based on a variety of factors, including, but not limited to, the level of cash balances, credit availability, debt covenant restrictions, general business conditions, regulatory requirements, the market price of the Company’s stock and the availability of alternative investment opportunities. No time limit was set for completion of repurchases under the Share Repurchase Program and the Share Repurchase Program may be suspended or discontinued at any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33"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share repurchase activity during the three months ended July 4, 2026:</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502"/>
        <w:gridCol w:w="438"/>
        <w:gridCol w:w="447"/>
        <w:gridCol w:w="566"/>
        <w:gridCol w:w="566"/>
        <w:gridCol w:w="568"/>
        <w:gridCol w:w="306"/>
        <w:gridCol w:w="895"/>
        <w:gridCol w:w="158"/>
        <w:gridCol w:w="899"/>
        <w:gridCol w:w="899"/>
        <w:gridCol w:w="902"/>
        <w:gridCol w:w="655"/>
        <w:gridCol w:w="1916"/>
        <w:gridCol w:w="488"/>
      </w:tblGrid>
      <w:tr>
        <w:trPr/>
        <w:tc>
          <w:tcPr>
            <w:tcW w:w="502"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1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Period</w:t>
            </w:r>
          </w:p>
        </w:tc>
        <w:tc>
          <w:tcPr>
            <w:tcW w:w="17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Total Number of Shares Purchased in Millions</w:t>
            </w:r>
          </w:p>
        </w:tc>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Average Price Paid per Share</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6"/>
              </w:rPr>
              <w:t>Total Number of Shares Purchased as Part of Publicly Announced Plan in Millions</w:t>
            </w:r>
            <w:r>
              <w:rPr>
                <w:rFonts w:ascii="Times New Roman;serif" w:hAnsi="Times New Roman;serif"/>
                <w:b w:val="false"/>
                <w:color w:val="000000"/>
                <w:sz w:val="10"/>
              </w:rPr>
              <w:t>(1)</w:t>
            </w:r>
          </w:p>
        </w:tc>
        <w:tc>
          <w:tcPr>
            <w:tcW w:w="305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6"/>
              </w:rPr>
              <w:t>Approximate Dollar Value of Shares That May Yet Be Purchased Under the Plan in Millions</w:t>
            </w:r>
            <w:r>
              <w:rPr>
                <w:rFonts w:ascii="Times New Roman;serif" w:hAnsi="Times New Roman;serif"/>
                <w:b w:val="false"/>
                <w:color w:val="000000"/>
                <w:sz w:val="10"/>
              </w:rPr>
              <w:t>(1)</w:t>
            </w:r>
          </w:p>
        </w:tc>
      </w:tr>
      <w:tr>
        <w:trPr/>
        <w:tc>
          <w:tcPr>
            <w:tcW w:w="138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5 through May 9, 2026</w:t>
            </w:r>
          </w:p>
        </w:tc>
        <w:tc>
          <w:tcPr>
            <w:tcW w:w="11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6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15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90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333.4 </w:t>
            </w:r>
          </w:p>
        </w:tc>
        <w:tc>
          <w:tcPr>
            <w:tcW w:w="48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10 through June 6, 2026</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7 through July 4, 2026</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7" w:type="dxa"/>
            <w:gridSpan w:val="3"/>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32" w:type="dxa"/>
            <w:gridSpan w:val="2"/>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568"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58"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902"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On July 25, 2025, the Company announced the Board of Directors’ approval of a share repurchase program in the amount of $500 million, which does not have an expiration date.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Item 3.Defaults Upon Senior Securities</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333" w:before="0" w:after="0"/>
        <w:jc w:val="left"/>
        <w:rPr/>
      </w:pPr>
      <w:hyperlink w:anchor="i1643453db6654ca39ea0a46a8e0a40e2_4">
        <w:r>
          <w:rPr>
            <w:rStyle w:val="InternetLink"/>
            <w:rFonts w:ascii="Times New Roman;serif" w:hAnsi="Times New Roman;serif"/>
            <w:b w:val="false"/>
            <w:color w:val="0000FF"/>
            <w:sz w:val="20"/>
            <w:u w:val="single"/>
          </w:rPr>
          <w:t>Table of Contents</w:t>
        </w:r>
      </w:hyperlink>
    </w:p>
    <w:p>
      <w:pPr>
        <w:pStyle w:val="TextBody"/>
        <w:bidi w:val="0"/>
        <w:spacing w:lineRule="auto" w:line="333" w:before="0" w:after="0"/>
        <w:ind w:left="0" w:right="0" w:hanging="1080"/>
        <w:jc w:val="both"/>
        <w:rPr>
          <w:rFonts w:ascii="Times New Roman;serif" w:hAnsi="Times New Roman;serif"/>
          <w:b/>
          <w:color w:val="000000"/>
          <w:sz w:val="20"/>
        </w:rPr>
      </w:pPr>
      <w:r>
        <w:rPr>
          <w:rFonts w:ascii="Times New Roman;serif" w:hAnsi="Times New Roman;serif"/>
          <w:b/>
          <w:color w:val="000000"/>
          <w:sz w:val="20"/>
        </w:rPr>
        <w:t>Item 4.Mine Safety Disclosures</w:t>
      </w:r>
    </w:p>
    <w:p>
      <w:pPr>
        <w:pStyle w:val="TextBody"/>
        <w:bidi w:val="0"/>
        <w:spacing w:before="0" w:after="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2"/>
        </w:rPr>
        <w:t>T</w:t>
      </w:r>
      <w:r>
        <w:rPr>
          <w:rFonts w:ascii="Times New Roman;serif" w:hAnsi="Times New Roman;serif"/>
          <w:b w:val="false"/>
          <w:color w:val="000000"/>
          <w:sz w:val="20"/>
        </w:rPr>
        <w:t>he information concerning mine safety violations or other regulatory matters required by Section 1503(a) of the Dodd-Frank Wall Street Reform and Consumer Protection Act and Item 104 of Regulation S-K is included in Exhibit 95.1 to this quarterly report on Form 10-Q.</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333" w:before="0" w:after="0"/>
        <w:jc w:val="left"/>
        <w:rPr/>
      </w:pPr>
      <w:hyperlink w:anchor="i1643453db6654ca39ea0a46a8e0a40e2_4">
        <w:r>
          <w:rPr>
            <w:rStyle w:val="InternetLink"/>
            <w:rFonts w:ascii="Times New Roman;serif" w:hAnsi="Times New Roman;serif"/>
            <w:b w:val="false"/>
            <w:color w:val="0000FF"/>
            <w:sz w:val="20"/>
            <w:u w:val="single"/>
          </w:rPr>
          <w:t>Table of Contents</w:t>
        </w:r>
      </w:hyperlink>
    </w:p>
    <w:p>
      <w:pPr>
        <w:pStyle w:val="TextBody"/>
        <w:bidi w:val="0"/>
        <w:spacing w:lineRule="auto" w:line="333"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Item 5.Other Information</w:t>
      </w:r>
    </w:p>
    <w:p>
      <w:pPr>
        <w:pStyle w:val="TextBody"/>
        <w:bidi w:val="0"/>
        <w:spacing w:before="0" w:after="0"/>
        <w:ind w:left="0" w:right="0" w:firstLine="720"/>
        <w:jc w:val="left"/>
        <w:rPr/>
      </w:pPr>
      <w:r>
        <w:rPr/>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Trading Arrangements</w:t>
      </w:r>
    </w:p>
    <w:p>
      <w:pPr>
        <w:pStyle w:val="TextBody"/>
        <w:bidi w:val="0"/>
        <w:spacing w:before="0" w:after="0"/>
        <w:jc w:val="both"/>
        <w:rPr/>
      </w:pPr>
      <w:r>
        <w:rPr/>
      </w:r>
    </w:p>
    <w:p>
      <w:pPr>
        <w:pStyle w:val="TextBody"/>
        <w:bidi w:val="0"/>
        <w:spacing w:lineRule="auto" w:line="319"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fiscal quarter ended July 4, 2026, no director or officer of the Company notified us that they adopted or terminated a “Rule 10b5-1 trading arrangement” or “non-Rule 10b5-1 trading arrangement,” as each term is defined in Item 408(a) of Regulation S-K.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333" w:before="0" w:after="0"/>
        <w:jc w:val="left"/>
        <w:rPr/>
      </w:pPr>
      <w:hyperlink w:anchor="i1643453db6654ca39ea0a46a8e0a40e2_4">
        <w:r>
          <w:rPr>
            <w:rStyle w:val="InternetLink"/>
            <w:rFonts w:ascii="Times New Roman;serif" w:hAnsi="Times New Roman;serif"/>
            <w:b w:val="false"/>
            <w:color w:val="0000FF"/>
            <w:sz w:val="20"/>
            <w:u w:val="single"/>
          </w:rPr>
          <w:t>Table of Contents</w:t>
        </w:r>
      </w:hyperlink>
    </w:p>
    <w:p>
      <w:pPr>
        <w:pStyle w:val="TextBody"/>
        <w:bidi w:val="0"/>
        <w:spacing w:lineRule="auto" w:line="333" w:before="0" w:after="0"/>
        <w:jc w:val="left"/>
        <w:rPr/>
      </w:pPr>
      <w:r>
        <w:rPr>
          <w:rFonts w:ascii="Times New Roman;serif" w:hAnsi="Times New Roman;serif"/>
          <w:b/>
          <w:color w:val="000000"/>
          <w:sz w:val="20"/>
        </w:rPr>
        <w:t>Item 6.</w:t>
      </w:r>
      <w:r>
        <w:rPr>
          <w:rFonts w:ascii="Times New Roman;serif" w:hAnsi="Times New Roman;serif"/>
          <w:b/>
          <w:color w:val="000000"/>
          <w:sz w:val="20"/>
        </w:rPr>
        <w:t>Exhibits</w:t>
      </w:r>
    </w:p>
    <w:tbl>
      <w:tblPr>
        <w:tblW w:w="10205" w:type="dxa"/>
        <w:jc w:val="left"/>
        <w:tblInd w:w="0" w:type="dxa"/>
        <w:tblLayout w:type="fixed"/>
        <w:tblCellMar>
          <w:top w:w="28" w:type="dxa"/>
          <w:left w:w="28" w:type="dxa"/>
          <w:bottom w:w="28" w:type="dxa"/>
          <w:right w:w="28" w:type="dxa"/>
        </w:tblCellMar>
      </w:tblPr>
      <w:tblGrid>
        <w:gridCol w:w="202"/>
        <w:gridCol w:w="178"/>
        <w:gridCol w:w="182"/>
        <w:gridCol w:w="109"/>
        <w:gridCol w:w="109"/>
        <w:gridCol w:w="109"/>
        <w:gridCol w:w="2810"/>
        <w:gridCol w:w="2677"/>
        <w:gridCol w:w="3829"/>
      </w:tblGrid>
      <w:tr>
        <w:trPr/>
        <w:tc>
          <w:tcPr>
            <w:tcW w:w="2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0" w:type="dxa"/>
            <w:tcBorders/>
            <w:vAlign w:val="center"/>
          </w:tcPr>
          <w:p>
            <w:pPr>
              <w:pStyle w:val="TableContents"/>
              <w:bidi w:val="0"/>
              <w:spacing w:before="0" w:after="283"/>
              <w:jc w:val="left"/>
              <w:rPr>
                <w:sz w:val="4"/>
                <w:szCs w:val="4"/>
              </w:rPr>
            </w:pPr>
            <w:r>
              <w:rPr>
                <w:sz w:val="4"/>
                <w:szCs w:val="4"/>
              </w:rPr>
            </w:r>
          </w:p>
        </w:tc>
        <w:tc>
          <w:tcPr>
            <w:tcW w:w="2677"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Description</w:t>
            </w:r>
          </w:p>
        </w:tc>
      </w:tr>
      <w:tr>
        <w:trPr/>
        <w:tc>
          <w:tcPr>
            <w:tcW w:w="5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Restated Certificate of Incorporation of Mohawk, as amended. (Incorporated herein by reference to Exhibit 3.1 in the Company’s Annual Report on Form 10-K for the fiscal year ended December 31, 1998.)</w:t>
            </w:r>
          </w:p>
        </w:tc>
      </w:tr>
      <w:tr>
        <w:trPr/>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6" w:type="dxa"/>
            <w:gridSpan w:val="3"/>
            <w:tcBorders/>
            <w:tcMar>
              <w:top w:w="0" w:type="dxa"/>
              <w:left w:w="0" w:type="dxa"/>
              <w:bottom w:w="0" w:type="dxa"/>
              <w:right w:w="0" w:type="dxa"/>
            </w:tcMar>
            <w:vAlign w:val="center"/>
          </w:tcPr>
          <w:p>
            <w:pPr>
              <w:pStyle w:val="TableContents"/>
              <w:bidi w:val="0"/>
              <w:spacing w:lineRule="auto" w:line="240" w:before="53" w:after="30"/>
              <w:jc w:val="left"/>
              <w:rPr/>
            </w:pPr>
            <w:hyperlink r:id="rId3">
              <w:r>
                <w:rPr>
                  <w:rStyle w:val="InternetLink"/>
                  <w:rFonts w:ascii="Times New Roman;serif" w:hAnsi="Times New Roman;serif"/>
                  <w:b w:val="false"/>
                  <w:color w:val="0000FF"/>
                  <w:sz w:val="18"/>
                  <w:u w:val="single"/>
                </w:rPr>
                <w:t>Amended and Restated Bylaws of Mohawk. (Incorporated herein by reference to Exhibit 3.1 in the Company’s Report on Form 8-K dated October 31, 2024.)</w:t>
              </w:r>
            </w:hyperlink>
          </w:p>
        </w:tc>
      </w:tr>
      <w:tr>
        <w:trPr/>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 Agreement dated May 12, 2026, by and among Mohawk Industries, Inc., certain domestic and foreign subsidiaries of Mohawk Industries, Inc., as borrowers, certain lenders party thereto from time to time, and JPMorgan Chase Bank, N.A. and J.P. Morgan SE, as U.S. administrative agent and non-U.S. administrative agent. (Incorporated by reference to Exhibit 10.1 of the Company’s Current Report on Form 8-K filed on May 12, 2026.)</w:t>
            </w:r>
          </w:p>
        </w:tc>
      </w:tr>
      <w:tr>
        <w:trPr/>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6"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w:anchor="mhk2026q2exhibit311.htm">
              <w:r>
                <w:rPr>
                  <w:rStyle w:val="InternetLink"/>
                  <w:rFonts w:ascii="Times New Roman;serif" w:hAnsi="Times New Roman;serif"/>
                  <w:b w:val="false"/>
                  <w:color w:val="0000FF"/>
                  <w:sz w:val="18"/>
                  <w:u w:val="single"/>
                </w:rPr>
                <w:t>Certification Pursuant to Rule 13a-14(a).</w:t>
              </w:r>
            </w:hyperlink>
          </w:p>
        </w:tc>
      </w:tr>
      <w:tr>
        <w:trPr/>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6"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w:anchor="mhk2026q2exhibit312.htm">
              <w:r>
                <w:rPr>
                  <w:rStyle w:val="InternetLink"/>
                  <w:rFonts w:ascii="Times New Roman;serif" w:hAnsi="Times New Roman;serif"/>
                  <w:b w:val="false"/>
                  <w:color w:val="0000FF"/>
                  <w:sz w:val="18"/>
                  <w:u w:val="single"/>
                </w:rPr>
                <w:t>Certification Pursuant to Rule 13a-14(a).</w:t>
              </w:r>
            </w:hyperlink>
          </w:p>
        </w:tc>
      </w:tr>
      <w:tr>
        <w:trPr/>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6"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w:anchor="mhk2026q1exhibit321.htm">
              <w:r>
                <w:rPr>
                  <w:rStyle w:val="InternetLink"/>
                  <w:rFonts w:ascii="Times New Roman;serif" w:hAnsi="Times New Roman;serif"/>
                  <w:b w:val="false"/>
                  <w:color w:val="0000FF"/>
                  <w:sz w:val="18"/>
                  <w:u w:val="single"/>
                </w:rPr>
                <w:t>Certification Pursuant to Section 906 of the Sarbanes-Oxley Act of 2002.</w:t>
              </w:r>
            </w:hyperlink>
          </w:p>
        </w:tc>
      </w:tr>
      <w:tr>
        <w:trPr/>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6"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w:anchor="mhk2026q2exhibit322.htm">
              <w:r>
                <w:rPr>
                  <w:rStyle w:val="InternetLink"/>
                  <w:rFonts w:ascii="Times New Roman;serif" w:hAnsi="Times New Roman;serif"/>
                  <w:b w:val="false"/>
                  <w:color w:val="0000FF"/>
                  <w:sz w:val="18"/>
                  <w:u w:val="single"/>
                </w:rPr>
                <w:t>Certification Pursuant to Section 906 of the Sarbanes-Oxley Act of 2002.</w:t>
              </w:r>
            </w:hyperlink>
          </w:p>
        </w:tc>
      </w:tr>
      <w:tr>
        <w:trPr/>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95.1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6"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w:anchor="mhk2026q2exhibit951.htm">
              <w:r>
                <w:rPr>
                  <w:rStyle w:val="InternetLink"/>
                  <w:rFonts w:ascii="Times New Roman;serif" w:hAnsi="Times New Roman;serif"/>
                  <w:b w:val="false"/>
                  <w:color w:val="0000FF"/>
                  <w:sz w:val="18"/>
                  <w:u w:val="single"/>
                </w:rPr>
                <w:t>Mine Safety Disclosure pursuant to Section 1503(a) of the Dodd-Frank Wall Street Reform and Consumer Protection Act</w:t>
              </w:r>
            </w:hyperlink>
          </w:p>
        </w:tc>
      </w:tr>
      <w:tr>
        <w:trPr/>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Schema Document.</w:t>
            </w:r>
          </w:p>
        </w:tc>
      </w:tr>
      <w:tr>
        <w:trPr/>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Calculation Linkbase Document.</w:t>
            </w:r>
          </w:p>
        </w:tc>
      </w:tr>
      <w:tr>
        <w:trPr/>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Definition Linkbase Document.</w:t>
            </w:r>
          </w:p>
        </w:tc>
      </w:tr>
      <w:tr>
        <w:trPr/>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Label Linkbase Document.</w:t>
            </w:r>
          </w:p>
        </w:tc>
      </w:tr>
      <w:tr>
        <w:trPr/>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Presentation Linkbase Document.</w:t>
            </w:r>
          </w:p>
        </w:tc>
      </w:tr>
      <w:tr>
        <w:trPr/>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6" w:type="dxa"/>
            <w:gridSpan w:val="3"/>
            <w:tcBorders/>
            <w:tcMar>
              <w:top w:w="0" w:type="dxa"/>
              <w:left w:w="0" w:type="dxa"/>
              <w:bottom w:w="0" w:type="dxa"/>
              <w:right w:w="0" w:type="dxa"/>
            </w:tcMar>
            <w:vAlign w:val="center"/>
          </w:tcPr>
          <w:p>
            <w:pPr>
              <w:pStyle w:val="TableContents"/>
              <w:bidi w:val="0"/>
              <w:spacing w:lineRule="auto" w:line="240" w:before="53"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(embedded within the Inline XBRL document and contained in Exhibit</w:t>
            </w:r>
          </w:p>
          <w:p>
            <w:pPr>
              <w:pStyle w:val="TableContents"/>
              <w:bidi w:val="0"/>
              <w:spacing w:lineRule="auto" w:line="240" w:before="0" w:after="30"/>
              <w:jc w:val="left"/>
              <w:rPr>
                <w:rFonts w:ascii="Times New Roman;serif" w:hAnsi="Times New Roman;serif"/>
                <w:b w:val="false"/>
                <w:color w:val="000000"/>
                <w:sz w:val="18"/>
              </w:rPr>
            </w:pPr>
            <w:r>
              <w:rPr>
                <w:rFonts w:ascii="Times New Roman;serif" w:hAnsi="Times New Roman;serif"/>
                <w:b w:val="false"/>
                <w:color w:val="000000"/>
                <w:sz w:val="18"/>
              </w:rPr>
              <w:t>101)</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333" w:before="0" w:after="0"/>
        <w:jc w:val="left"/>
        <w:rPr/>
      </w:pPr>
      <w:hyperlink w:anchor="i1643453db6654ca39ea0a46a8e0a40e2_4">
        <w:r>
          <w:rPr>
            <w:rStyle w:val="InternetLink"/>
            <w:rFonts w:ascii="Times New Roman;serif" w:hAnsi="Times New Roman;serif"/>
            <w:b w:val="false"/>
            <w:color w:val="0000FF"/>
            <w:sz w:val="20"/>
            <w:u w:val="single"/>
          </w:rPr>
          <w:t>Table of Contents</w:t>
        </w:r>
      </w:hyperlink>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33"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333" w:before="0" w:after="100"/>
        <w:jc w:val="left"/>
        <w:rPr>
          <w:color w:val="000000"/>
        </w:rPr>
      </w:pPr>
      <w:r>
        <w:rPr>
          <w:color w:val="000000"/>
        </w:rPr>
        <w:t> </w:t>
      </w:r>
    </w:p>
    <w:tbl>
      <w:tblPr>
        <w:tblW w:w="5891" w:type="dxa"/>
        <w:jc w:val="left"/>
        <w:tblInd w:w="0" w:type="dxa"/>
        <w:tblLayout w:type="fixed"/>
        <w:tblCellMar>
          <w:top w:w="28" w:type="dxa"/>
          <w:left w:w="28" w:type="dxa"/>
          <w:bottom w:w="28" w:type="dxa"/>
          <w:right w:w="28" w:type="dxa"/>
        </w:tblCellMar>
      </w:tblPr>
      <w:tblGrid>
        <w:gridCol w:w="238"/>
        <w:gridCol w:w="210"/>
        <w:gridCol w:w="212"/>
        <w:gridCol w:w="404"/>
        <w:gridCol w:w="404"/>
        <w:gridCol w:w="407"/>
        <w:gridCol w:w="134"/>
        <w:gridCol w:w="134"/>
        <w:gridCol w:w="136"/>
        <w:gridCol w:w="109"/>
        <w:gridCol w:w="109"/>
        <w:gridCol w:w="109"/>
        <w:gridCol w:w="961"/>
        <w:gridCol w:w="961"/>
        <w:gridCol w:w="1363"/>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MOHAWK INDUSTRIES,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Jeffrey S. Lorberbaum</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JEFFREY S. LORBERBAUM</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Chairman and Chief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Nicholas P. Manthey</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NICHOLAS P. MANTHEY</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Chief Financial Officer </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Jeffrey S. Lorberbaum, certify that: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40"/>
        <w:gridCol w:w="2728"/>
        <w:gridCol w:w="38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0"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c>
          <w:tcPr>
            <w:tcW w:w="38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Mohawk Industries,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bl>
      <w:tblPr>
        <w:tblW w:w="3420" w:type="dxa"/>
        <w:jc w:val="left"/>
        <w:tblInd w:w="0" w:type="dxa"/>
        <w:tblLayout w:type="fixed"/>
        <w:tblCellMar>
          <w:top w:w="28" w:type="dxa"/>
          <w:left w:w="28" w:type="dxa"/>
          <w:bottom w:w="28" w:type="dxa"/>
          <w:right w:w="28" w:type="dxa"/>
        </w:tblCellMar>
      </w:tblPr>
      <w:tblGrid>
        <w:gridCol w:w="1095"/>
        <w:gridCol w:w="961"/>
        <w:gridCol w:w="1364"/>
      </w:tblGrid>
      <w:tr>
        <w:trPr/>
        <w:tc>
          <w:tcPr>
            <w:tcW w:w="109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Jeffrey S. Lorberbaum</w:t>
            </w:r>
          </w:p>
        </w:tc>
      </w:tr>
      <w:tr>
        <w:trPr/>
        <w:tc>
          <w:tcPr>
            <w:tcW w:w="3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Jeffrey S. Lorberbaum</w:t>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Chairman and Chief Executive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Nicholas P. Manthey, certify that: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40"/>
        <w:gridCol w:w="2728"/>
        <w:gridCol w:w="38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0"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c>
          <w:tcPr>
            <w:tcW w:w="38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Mohawk Industries,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bl>
      <w:tblPr>
        <w:tblW w:w="2114" w:type="dxa"/>
        <w:jc w:val="left"/>
        <w:tblInd w:w="0" w:type="dxa"/>
        <w:tblLayout w:type="fixed"/>
        <w:tblCellMar>
          <w:top w:w="28" w:type="dxa"/>
          <w:left w:w="28" w:type="dxa"/>
          <w:bottom w:w="28" w:type="dxa"/>
          <w:right w:w="28" w:type="dxa"/>
        </w:tblCellMar>
      </w:tblPr>
      <w:tblGrid>
        <w:gridCol w:w="676"/>
        <w:gridCol w:w="593"/>
        <w:gridCol w:w="845"/>
      </w:tblGrid>
      <w:tr>
        <w:trPr/>
        <w:tc>
          <w:tcPr>
            <w:tcW w:w="67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Nicholas P. Manthey</w:t>
            </w:r>
          </w:p>
        </w:tc>
      </w:tr>
      <w:tr>
        <w:trPr/>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Nicholas P. Manthey</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Statement of Chief Executive Officer of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MOHAWK INDUSTRIES,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Pursuant to 18 U.S.C. Section 1350,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As Adopted Pursuant to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 906 of the Sarbanes-Oxley Act of 2002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Mohawk Industries, Inc. (the “Company”) on Form 10-Q for the period ended July 4, 2026 as filed with the Securities and Exchange Commission on the date hereof (the “Report”), I, Jeffrey S. Lorberbaum, Chairman and Chief Executive Officer of the Company, certify, pursuant to 18 U.S.C. § 1350, as adopted pursuant to § 906 of the Sarbanes-Oxley Act of 2002, that, based on my knowledge: </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 of 1934;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tbl>
      <w:tblPr>
        <w:tblW w:w="3420" w:type="dxa"/>
        <w:jc w:val="left"/>
        <w:tblInd w:w="0" w:type="dxa"/>
        <w:tblLayout w:type="fixed"/>
        <w:tblCellMar>
          <w:top w:w="28" w:type="dxa"/>
          <w:left w:w="28" w:type="dxa"/>
          <w:bottom w:w="28" w:type="dxa"/>
          <w:right w:w="28" w:type="dxa"/>
        </w:tblCellMar>
      </w:tblPr>
      <w:tblGrid>
        <w:gridCol w:w="1095"/>
        <w:gridCol w:w="961"/>
        <w:gridCol w:w="1364"/>
      </w:tblGrid>
      <w:tr>
        <w:trPr/>
        <w:tc>
          <w:tcPr>
            <w:tcW w:w="109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Jeffrey S. Lorberbaum</w:t>
            </w:r>
          </w:p>
        </w:tc>
      </w:tr>
      <w:tr>
        <w:trPr/>
        <w:tc>
          <w:tcPr>
            <w:tcW w:w="3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Jeffrey S. Lorberbaum</w:t>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Chairman and Chief Executive Officer</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32.2 </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Statement of Chief Financial Officer of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MOHAWK INDUSTRIES,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Pursuant to 18 U.S.C. Section 1350,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As Adopted Pursuant to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 906 of the Sarbanes-Oxley Act of 2002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Mohawk Industries, Inc. (the “Company”) on Form 10-Q for the period ended July 4, 2026 as filed with the Securities and Exchange Commission on the date hereof (the “Report”), I, Nicholas P. Manthey, Chief Financial Officer of the Company, certify, pursuant to 18 U.S.C. § 1350, as adopted pursuant to § 906 of the Sarbanes-Oxley Act of 2002, that, based on my knowledge: </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 of 1934;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tbl>
      <w:tblPr>
        <w:tblW w:w="2159" w:type="dxa"/>
        <w:jc w:val="left"/>
        <w:tblInd w:w="0" w:type="dxa"/>
        <w:tblLayout w:type="fixed"/>
        <w:tblCellMar>
          <w:top w:w="28" w:type="dxa"/>
          <w:left w:w="28" w:type="dxa"/>
          <w:bottom w:w="28" w:type="dxa"/>
          <w:right w:w="28" w:type="dxa"/>
        </w:tblCellMar>
      </w:tblPr>
      <w:tblGrid>
        <w:gridCol w:w="690"/>
        <w:gridCol w:w="606"/>
        <w:gridCol w:w="863"/>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Nicholas P. Manthey</w:t>
            </w:r>
          </w:p>
        </w:tc>
      </w:tr>
      <w:tr>
        <w:trPr/>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Nicholas P. Manthey</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Chief Financial Officer </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95.1</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Mine Safety Disclosure</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disclosures are provided pursuant to Section 1503(a) of the Dodd-Frank Wall Street Reform and Consumer Protection Act (the “Act”) and Item 104 of Regulation S-K, which requires certain disclosures by companies required to file periodic reports under the Securities Exchange Act of 1934, as amended, that operate mines regulated under the Federal Mine Safety and Health Act of 1977 (the “Mine Act”).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Mine Safety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Whenever the Federal Mine Safety and Health Administration (“MSHA”) believes a violation of the Mine Act, any health or safety standard or any regulation has occurred, it may issue a citation which describes the alleged violation and fixes a time within which the U.S. mining operator must abate the alleged violation. In some situations, such as when MSHA believes that conditions pose a hazard to miners, MSHA may issue an order removing miners from the area of the mine affected by the condition until the alleged hazards are corrected. When MSHA issues a citation or order, it generally proposes a civil penalty, or fine, as a result of the alleged violation, that the operator is ordered to pay. Citations and orders can be contested and appealed, and as part of that process, may be reduced in severity and amount, and are sometimes dismissed. The number of citations, orders and proposed assessments vary depending on the size and type (underground or surface) of the mine as well as by the MSHA inspector(s) assigned.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 includes information required by the Act for the six months ended July 4, 2026.</w:t>
      </w:r>
    </w:p>
    <w:tbl>
      <w:tblPr>
        <w:tblW w:w="10205" w:type="dxa"/>
        <w:jc w:val="center"/>
        <w:tblInd w:w="0" w:type="dxa"/>
        <w:tblLayout w:type="fixed"/>
        <w:tblCellMar>
          <w:top w:w="28" w:type="dxa"/>
          <w:left w:w="28" w:type="dxa"/>
          <w:bottom w:w="28" w:type="dxa"/>
          <w:right w:w="28" w:type="dxa"/>
        </w:tblCellMar>
      </w:tblPr>
      <w:tblGrid>
        <w:gridCol w:w="405"/>
        <w:gridCol w:w="356"/>
        <w:gridCol w:w="358"/>
        <w:gridCol w:w="340"/>
        <w:gridCol w:w="340"/>
        <w:gridCol w:w="341"/>
        <w:gridCol w:w="176"/>
        <w:gridCol w:w="176"/>
        <w:gridCol w:w="177"/>
        <w:gridCol w:w="349"/>
        <w:gridCol w:w="349"/>
        <w:gridCol w:w="350"/>
        <w:gridCol w:w="258"/>
        <w:gridCol w:w="258"/>
        <w:gridCol w:w="259"/>
        <w:gridCol w:w="175"/>
        <w:gridCol w:w="175"/>
        <w:gridCol w:w="177"/>
        <w:gridCol w:w="320"/>
        <w:gridCol w:w="320"/>
        <w:gridCol w:w="322"/>
        <w:gridCol w:w="226"/>
        <w:gridCol w:w="226"/>
        <w:gridCol w:w="227"/>
        <w:gridCol w:w="285"/>
        <w:gridCol w:w="285"/>
        <w:gridCol w:w="286"/>
        <w:gridCol w:w="260"/>
        <w:gridCol w:w="260"/>
        <w:gridCol w:w="261"/>
        <w:gridCol w:w="365"/>
        <w:gridCol w:w="365"/>
        <w:gridCol w:w="367"/>
        <w:gridCol w:w="232"/>
        <w:gridCol w:w="232"/>
        <w:gridCol w:w="347"/>
      </w:tblGrid>
      <w:tr>
        <w:trPr/>
        <w:tc>
          <w:tcPr>
            <w:tcW w:w="40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1119" w:type="dxa"/>
            <w:gridSpan w:val="3"/>
            <w:tcBorders>
              <w:top w:val="single" w:sz="8" w:space="0" w:color="000000"/>
              <w:left w:val="single" w:sz="8" w:space="0" w:color="000000"/>
            </w:tcBorders>
            <w:shd w:fill="DBE5F1"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Mine</w:t>
              <w:br/>
              <w:t>(Federal Mine Safety and Health Administration (MSHA) ID)</w:t>
            </w:r>
          </w:p>
        </w:tc>
        <w:tc>
          <w:tcPr>
            <w:tcW w:w="1021" w:type="dxa"/>
            <w:gridSpan w:val="3"/>
            <w:tcBorders>
              <w:top w:val="single" w:sz="8" w:space="0" w:color="000000"/>
              <w:left w:val="single" w:sz="8" w:space="0" w:color="000000"/>
            </w:tcBorders>
            <w:shd w:fill="DBE5F1"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Total # of Significant &amp; Substantial violations under §104(a)</w:t>
            </w:r>
          </w:p>
        </w:tc>
        <w:tc>
          <w:tcPr>
            <w:tcW w:w="529" w:type="dxa"/>
            <w:gridSpan w:val="3"/>
            <w:tcBorders>
              <w:top w:val="single" w:sz="8" w:space="0" w:color="000000"/>
              <w:left w:val="single" w:sz="8" w:space="0" w:color="000000"/>
            </w:tcBorders>
            <w:shd w:fill="DBE5F1"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Total # of orders under §104(b)</w:t>
            </w:r>
          </w:p>
        </w:tc>
        <w:tc>
          <w:tcPr>
            <w:tcW w:w="1048" w:type="dxa"/>
            <w:gridSpan w:val="3"/>
            <w:tcBorders>
              <w:top w:val="single" w:sz="8" w:space="0" w:color="000000"/>
              <w:left w:val="single" w:sz="8" w:space="0" w:color="000000"/>
            </w:tcBorders>
            <w:shd w:fill="DBE5F1"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Total # of unwarrantable failure citations and orders under §104(d)</w:t>
            </w:r>
          </w:p>
        </w:tc>
        <w:tc>
          <w:tcPr>
            <w:tcW w:w="775" w:type="dxa"/>
            <w:gridSpan w:val="3"/>
            <w:tcBorders>
              <w:top w:val="single" w:sz="8" w:space="0" w:color="000000"/>
              <w:left w:val="single" w:sz="8" w:space="0" w:color="000000"/>
            </w:tcBorders>
            <w:shd w:fill="DBE5F1"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Total # of violations under §110(b)(2)</w:t>
            </w:r>
          </w:p>
        </w:tc>
        <w:tc>
          <w:tcPr>
            <w:tcW w:w="527" w:type="dxa"/>
            <w:gridSpan w:val="3"/>
            <w:tcBorders>
              <w:top w:val="single" w:sz="8" w:space="0" w:color="000000"/>
              <w:left w:val="single" w:sz="8" w:space="0" w:color="000000"/>
            </w:tcBorders>
            <w:shd w:fill="DBE5F1"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Total # of orders under §107(a)</w:t>
            </w:r>
          </w:p>
        </w:tc>
        <w:tc>
          <w:tcPr>
            <w:tcW w:w="962" w:type="dxa"/>
            <w:gridSpan w:val="3"/>
            <w:tcBorders>
              <w:top w:val="single" w:sz="8" w:space="0" w:color="000000"/>
              <w:left w:val="single" w:sz="8" w:space="0" w:color="000000"/>
            </w:tcBorders>
            <w:shd w:fill="DBE5F1"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Total dollar value of proposed assessments from MSHA ($ in thousands)</w:t>
            </w:r>
          </w:p>
        </w:tc>
        <w:tc>
          <w:tcPr>
            <w:tcW w:w="679" w:type="dxa"/>
            <w:gridSpan w:val="3"/>
            <w:tcBorders>
              <w:top w:val="single" w:sz="8" w:space="0" w:color="000000"/>
              <w:left w:val="single" w:sz="8" w:space="0" w:color="000000"/>
            </w:tcBorders>
            <w:shd w:fill="DBE5F1"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Total # of mining related fatalities</w:t>
            </w:r>
          </w:p>
        </w:tc>
        <w:tc>
          <w:tcPr>
            <w:tcW w:w="856" w:type="dxa"/>
            <w:gridSpan w:val="3"/>
            <w:tcBorders>
              <w:top w:val="single" w:sz="8" w:space="0" w:color="000000"/>
              <w:left w:val="single" w:sz="8" w:space="0" w:color="000000"/>
            </w:tcBorders>
            <w:shd w:fill="DBE5F1"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Received Notice of Pattern of Violations under §104(e) (yes/no)?</w:t>
            </w:r>
          </w:p>
        </w:tc>
        <w:tc>
          <w:tcPr>
            <w:tcW w:w="781" w:type="dxa"/>
            <w:gridSpan w:val="3"/>
            <w:tcBorders>
              <w:top w:val="single" w:sz="8" w:space="0" w:color="000000"/>
              <w:left w:val="single" w:sz="8" w:space="0" w:color="000000"/>
            </w:tcBorders>
            <w:shd w:fill="DBE5F1"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Received Notice of Potential to have Pattern under §104(e) (yes/no)?</w:t>
            </w:r>
          </w:p>
        </w:tc>
        <w:tc>
          <w:tcPr>
            <w:tcW w:w="1097" w:type="dxa"/>
            <w:gridSpan w:val="3"/>
            <w:tcBorders>
              <w:top w:val="single" w:sz="8" w:space="0" w:color="000000"/>
              <w:left w:val="single" w:sz="8" w:space="0" w:color="000000"/>
            </w:tcBorders>
            <w:shd w:fill="DBE5F1"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Total # of Legal Actions Pending with the Mine Safety and Health Review Commission as of the Last Day of Period</w:t>
            </w:r>
          </w:p>
        </w:tc>
        <w:tc>
          <w:tcPr>
            <w:tcW w:w="811" w:type="dxa"/>
            <w:gridSpan w:val="3"/>
            <w:tcBorders>
              <w:top w:val="single" w:sz="8" w:space="0" w:color="000000"/>
              <w:left w:val="single" w:sz="8" w:space="0" w:color="000000"/>
              <w:right w:val="single" w:sz="8" w:space="0" w:color="000000"/>
            </w:tcBorders>
            <w:shd w:fill="DBE5F1"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Legal Actions Initiated or Resolved During Period</w:t>
            </w:r>
          </w:p>
        </w:tc>
      </w:tr>
      <w:tr>
        <w:trPr/>
        <w:tc>
          <w:tcPr>
            <w:tcW w:w="1119" w:type="dxa"/>
            <w:gridSpan w:val="3"/>
            <w:tcBorders>
              <w:top w:val="single" w:sz="8" w:space="0" w:color="000000"/>
              <w:left w:val="single" w:sz="8" w:space="0" w:color="000000"/>
            </w:tcBorders>
            <w:tcMar>
              <w:top w:w="30" w:type="dxa"/>
              <w:left w:w="87"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TP Claims 1&amp;2/Rosa Blanca (4100867)</w:t>
            </w:r>
          </w:p>
        </w:tc>
        <w:tc>
          <w:tcPr>
            <w:tcW w:w="1021" w:type="dxa"/>
            <w:gridSpan w:val="3"/>
            <w:tcBorders>
              <w:top w:val="single" w:sz="8" w:space="0" w:color="000000"/>
              <w:left w:val="single" w:sz="8" w:space="0" w:color="000000"/>
            </w:tcBorders>
            <w:tcMar>
              <w:top w:w="30" w:type="dxa"/>
              <w:left w:w="87"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29" w:type="dxa"/>
            <w:gridSpan w:val="3"/>
            <w:tcBorders>
              <w:top w:val="single" w:sz="8" w:space="0" w:color="000000"/>
              <w:left w:val="single" w:sz="8" w:space="0" w:color="000000"/>
            </w:tcBorders>
            <w:tcMar>
              <w:top w:w="30" w:type="dxa"/>
              <w:left w:w="87"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48" w:type="dxa"/>
            <w:gridSpan w:val="3"/>
            <w:tcBorders>
              <w:top w:val="single" w:sz="8" w:space="0" w:color="000000"/>
              <w:left w:val="single" w:sz="8" w:space="0" w:color="000000"/>
            </w:tcBorders>
            <w:tcMar>
              <w:top w:w="30" w:type="dxa"/>
              <w:left w:w="87"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75" w:type="dxa"/>
            <w:gridSpan w:val="3"/>
            <w:tcBorders>
              <w:top w:val="single" w:sz="8" w:space="0" w:color="000000"/>
              <w:left w:val="single" w:sz="8" w:space="0" w:color="000000"/>
            </w:tcBorders>
            <w:tcMar>
              <w:top w:w="30" w:type="dxa"/>
              <w:left w:w="87"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27" w:type="dxa"/>
            <w:gridSpan w:val="3"/>
            <w:tcBorders>
              <w:top w:val="single" w:sz="8" w:space="0" w:color="000000"/>
              <w:left w:val="single" w:sz="8" w:space="0" w:color="000000"/>
            </w:tcBorders>
            <w:tcMar>
              <w:top w:w="30" w:type="dxa"/>
              <w:left w:w="87"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62" w:type="dxa"/>
            <w:gridSpan w:val="3"/>
            <w:tcBorders>
              <w:top w:val="single" w:sz="8" w:space="0" w:color="000000"/>
              <w:left w:val="single" w:sz="8" w:space="0" w:color="000000"/>
            </w:tcBorders>
            <w:tcMar>
              <w:top w:w="30" w:type="dxa"/>
              <w:left w:w="87"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679" w:type="dxa"/>
            <w:gridSpan w:val="3"/>
            <w:tcBorders>
              <w:top w:val="single" w:sz="8" w:space="0" w:color="000000"/>
              <w:left w:val="single" w:sz="8" w:space="0" w:color="000000"/>
            </w:tcBorders>
            <w:tcMar>
              <w:top w:w="30" w:type="dxa"/>
              <w:left w:w="87"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56" w:type="dxa"/>
            <w:gridSpan w:val="3"/>
            <w:tcBorders>
              <w:top w:val="single" w:sz="8" w:space="0" w:color="000000"/>
              <w:left w:val="single" w:sz="8" w:space="0" w:color="000000"/>
            </w:tcBorders>
            <w:tcMar>
              <w:top w:w="30" w:type="dxa"/>
              <w:left w:w="87"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c>
          <w:tcPr>
            <w:tcW w:w="781" w:type="dxa"/>
            <w:gridSpan w:val="3"/>
            <w:tcBorders>
              <w:top w:val="single" w:sz="8" w:space="0" w:color="000000"/>
              <w:left w:val="single" w:sz="8" w:space="0" w:color="000000"/>
            </w:tcBorders>
            <w:tcMar>
              <w:top w:w="30" w:type="dxa"/>
              <w:left w:w="87"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c>
          <w:tcPr>
            <w:tcW w:w="1097" w:type="dxa"/>
            <w:gridSpan w:val="3"/>
            <w:tcBorders>
              <w:top w:val="single" w:sz="8" w:space="0" w:color="000000"/>
              <w:left w:val="single" w:sz="8" w:space="0" w:color="000000"/>
            </w:tcBorders>
            <w:tcMar>
              <w:top w:w="30" w:type="dxa"/>
              <w:left w:w="87"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1" w:type="dxa"/>
            <w:gridSpan w:val="3"/>
            <w:tcBorders>
              <w:top w:val="single" w:sz="8" w:space="0" w:color="000000"/>
              <w:left w:val="single" w:sz="8" w:space="0" w:color="000000"/>
              <w:right w:val="single" w:sz="8" w:space="0" w:color="000000"/>
            </w:tcBorders>
            <w:tcMar>
              <w:top w:w="30" w:type="dxa"/>
              <w:left w:w="87" w:type="dxa"/>
              <w:bottom w:w="0" w:type="dxa"/>
              <w:right w:w="87" w:type="dxa"/>
            </w:tcMar>
            <w:vAlign w:val="center"/>
          </w:tcPr>
          <w:p>
            <w:pPr>
              <w:pStyle w:val="TableContents"/>
              <w:bidi w:val="0"/>
              <w:spacing w:lineRule="auto" w:line="240" w:before="0" w:after="283"/>
              <w:jc w:val="center"/>
              <w:rPr>
                <w:color w:val="000000"/>
              </w:rPr>
            </w:pPr>
            <w:r>
              <w:rPr>
                <w:color w:val="000000"/>
              </w:rPr>
              <w:t>—</w:t>
            </w:r>
          </w:p>
        </w:tc>
      </w:tr>
      <w:tr>
        <w:trPr/>
        <w:tc>
          <w:tcPr>
            <w:tcW w:w="11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Millsap Shale Mine (4105120)</w:t>
            </w:r>
          </w:p>
        </w:tc>
        <w:tc>
          <w:tcPr>
            <w:tcW w:w="1021" w:type="dxa"/>
            <w:gridSpan w:val="3"/>
            <w:tcBorders>
              <w:top w:val="single" w:sz="8" w:space="0" w:color="000000"/>
              <w:left w:val="single" w:sz="8" w:space="0" w:color="000000"/>
              <w:bottom w:val="single" w:sz="8" w:space="0" w:color="000000"/>
            </w:tcBorders>
            <w:tcMar>
              <w:top w:w="30" w:type="dxa"/>
              <w:left w:w="87"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529" w:type="dxa"/>
            <w:gridSpan w:val="3"/>
            <w:tcBorders>
              <w:top w:val="single" w:sz="8" w:space="0" w:color="000000"/>
              <w:left w:val="single" w:sz="8" w:space="0" w:color="000000"/>
              <w:bottom w:val="single" w:sz="8" w:space="0" w:color="000000"/>
            </w:tcBorders>
            <w:tcMar>
              <w:top w:w="30" w:type="dxa"/>
              <w:left w:w="87"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1048" w:type="dxa"/>
            <w:gridSpan w:val="3"/>
            <w:tcBorders>
              <w:top w:val="single" w:sz="8" w:space="0" w:color="000000"/>
              <w:left w:val="single" w:sz="8" w:space="0" w:color="000000"/>
              <w:bottom w:val="single" w:sz="8" w:space="0" w:color="000000"/>
            </w:tcBorders>
            <w:tcMar>
              <w:top w:w="30" w:type="dxa"/>
              <w:left w:w="87"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775" w:type="dxa"/>
            <w:gridSpan w:val="3"/>
            <w:tcBorders>
              <w:top w:val="single" w:sz="8" w:space="0" w:color="000000"/>
              <w:left w:val="single" w:sz="8" w:space="0" w:color="000000"/>
              <w:bottom w:val="single" w:sz="8" w:space="0" w:color="000000"/>
            </w:tcBorders>
            <w:tcMar>
              <w:top w:w="30" w:type="dxa"/>
              <w:left w:w="87"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527" w:type="dxa"/>
            <w:gridSpan w:val="3"/>
            <w:tcBorders>
              <w:top w:val="single" w:sz="8" w:space="0" w:color="000000"/>
              <w:left w:val="single" w:sz="8" w:space="0" w:color="000000"/>
              <w:bottom w:val="single" w:sz="8" w:space="0" w:color="000000"/>
            </w:tcBorders>
            <w:tcMar>
              <w:top w:w="30" w:type="dxa"/>
              <w:left w:w="87"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962" w:type="dxa"/>
            <w:gridSpan w:val="3"/>
            <w:tcBorders>
              <w:top w:val="single" w:sz="8" w:space="0" w:color="000000"/>
              <w:left w:val="single" w:sz="8" w:space="0" w:color="000000"/>
              <w:bottom w:val="single" w:sz="8" w:space="0" w:color="000000"/>
            </w:tcBorders>
            <w:tcMar>
              <w:top w:w="30" w:type="dxa"/>
              <w:left w:w="87"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679" w:type="dxa"/>
            <w:gridSpan w:val="3"/>
            <w:tcBorders>
              <w:top w:val="single" w:sz="8" w:space="0" w:color="000000"/>
              <w:left w:val="single" w:sz="8" w:space="0" w:color="000000"/>
              <w:bottom w:val="single" w:sz="8" w:space="0" w:color="000000"/>
            </w:tcBorders>
            <w:tcMar>
              <w:top w:w="30" w:type="dxa"/>
              <w:left w:w="87"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856" w:type="dxa"/>
            <w:gridSpan w:val="3"/>
            <w:tcBorders>
              <w:top w:val="single" w:sz="8" w:space="0" w:color="000000"/>
              <w:left w:val="single" w:sz="8" w:space="0" w:color="000000"/>
              <w:bottom w:val="single" w:sz="8" w:space="0" w:color="000000"/>
            </w:tcBorders>
            <w:tcMar>
              <w:top w:w="30" w:type="dxa"/>
              <w:left w:w="87"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c>
          <w:tcPr>
            <w:tcW w:w="781" w:type="dxa"/>
            <w:gridSpan w:val="3"/>
            <w:tcBorders>
              <w:top w:val="single" w:sz="8" w:space="0" w:color="000000"/>
              <w:left w:val="single" w:sz="8" w:space="0" w:color="000000"/>
              <w:bottom w:val="single" w:sz="8" w:space="0" w:color="000000"/>
            </w:tcBorders>
            <w:tcMar>
              <w:top w:w="30" w:type="dxa"/>
              <w:left w:w="87"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c>
          <w:tcPr>
            <w:tcW w:w="1097" w:type="dxa"/>
            <w:gridSpan w:val="3"/>
            <w:tcBorders>
              <w:top w:val="single" w:sz="8" w:space="0" w:color="000000"/>
              <w:left w:val="single" w:sz="8" w:space="0" w:color="000000"/>
              <w:bottom w:val="single" w:sz="8" w:space="0" w:color="000000"/>
            </w:tcBorders>
            <w:tcMar>
              <w:top w:w="30" w:type="dxa"/>
              <w:left w:w="87"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811" w:type="dxa"/>
            <w:gridSpan w:val="3"/>
            <w:tcBorders>
              <w:top w:val="single" w:sz="8" w:space="0" w:color="000000"/>
              <w:left w:val="single" w:sz="8" w:space="0" w:color="000000"/>
              <w:bottom w:val="single" w:sz="8" w:space="0" w:color="000000"/>
              <w:right w:val="single" w:sz="8" w:space="0" w:color="000000"/>
            </w:tcBorders>
            <w:tcMar>
              <w:top w:w="30" w:type="dxa"/>
              <w:left w:w="87" w:type="dxa"/>
              <w:bottom w:w="30" w:type="dxa"/>
              <w:right w:w="87" w:type="dxa"/>
            </w:tcMar>
            <w:vAlign w:val="center"/>
          </w:tcPr>
          <w:p>
            <w:pPr>
              <w:pStyle w:val="TableContents"/>
              <w:bidi w:val="0"/>
              <w:spacing w:lineRule="auto" w:line="240" w:before="0" w:after="283"/>
              <w:jc w:val="center"/>
              <w:rPr>
                <w:color w:val="000000"/>
              </w:rPr>
            </w:pPr>
            <w:r>
              <w:rPr>
                <w:color w:val="000000"/>
              </w:rPr>
              <w:t>—</w:t>
            </w:r>
          </w:p>
        </w:tc>
      </w:tr>
      <w:tr>
        <w:trPr/>
        <w:tc>
          <w:tcPr>
            <w:tcW w:w="1119"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52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679"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r>
        <w:trPr/>
        <w:tc>
          <w:tcPr>
            <w:tcW w:w="1119"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52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679"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851968/000085196824000127/mhk-2024103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17565</Words>
  <Characters>98149</Characters>
  <CharactersWithSpaces>114775</CharactersWithSpaces>
  <Paragraphs>2604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