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954"/>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8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106" w:lineRule="exact"/>
        <w:rPr>
          <w:sz w:val="24"/>
          <w:szCs w:val="24"/>
          <w:color w:val="auto"/>
        </w:rPr>
      </w:pPr>
    </w:p>
    <w:p>
      <w:pPr>
        <w:ind w:left="3954"/>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31" w:lineRule="exact"/>
        <w:rPr>
          <w:sz w:val="24"/>
          <w:szCs w:val="24"/>
          <w:color w:val="auto"/>
        </w:rPr>
      </w:pPr>
    </w:p>
    <w:p>
      <w:pPr>
        <w:ind w:left="654" w:hanging="654"/>
        <w:spacing w:after="0"/>
        <w:tabs>
          <w:tab w:leader="none" w:pos="65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256" w:lineRule="exact"/>
        <w:rPr>
          <w:sz w:val="24"/>
          <w:szCs w:val="24"/>
          <w:color w:val="auto"/>
        </w:rPr>
      </w:pPr>
    </w:p>
    <w:p>
      <w:pPr>
        <w:ind w:left="4114"/>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ind w:left="5454"/>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654" w:hanging="654"/>
        <w:spacing w:after="0"/>
        <w:tabs>
          <w:tab w:leader="none" w:pos="654"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267" w:lineRule="exact"/>
        <w:rPr>
          <w:sz w:val="24"/>
          <w:szCs w:val="24"/>
          <w:color w:val="auto"/>
        </w:rPr>
      </w:pPr>
    </w:p>
    <w:p>
      <w:pPr>
        <w:ind w:left="3974"/>
        <w:spacing w:after="0"/>
        <w:tabs>
          <w:tab w:leader="none" w:pos="6914"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Commission File Number 01-13697</w:t>
      </w:r>
    </w:p>
    <w:p>
      <w:pPr>
        <w:spacing w:after="0" w:line="94" w:lineRule="exact"/>
        <w:rPr>
          <w:sz w:val="24"/>
          <w:szCs w:val="24"/>
          <w:color w:val="auto"/>
        </w:rPr>
      </w:pPr>
    </w:p>
    <w:p>
      <w:pPr>
        <w:ind w:left="3954"/>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0"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MOHAWK INDUSTRIES RETIREMENT PLAN 1</w:t>
      </w:r>
    </w:p>
    <w:p>
      <w:pPr>
        <w:spacing w:after="0" w:line="1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2808605</wp:posOffset>
            </wp:positionH>
            <wp:positionV relativeFrom="paragraph">
              <wp:posOffset>167640</wp:posOffset>
            </wp:positionV>
            <wp:extent cx="149987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987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6"/>
          <w:szCs w:val="16"/>
          <w:b w:val="1"/>
          <w:bCs w:val="1"/>
          <w:color w:val="auto"/>
        </w:rPr>
        <w:t>MOHAWK INDUSTRIES, INC.</w:t>
      </w:r>
    </w:p>
    <w:p>
      <w:pPr>
        <w:spacing w:after="0" w:line="1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(Name of the issuer of the securities held pursuant to the Plan)</w:t>
      </w:r>
    </w:p>
    <w:p>
      <w:pPr>
        <w:spacing w:after="0" w:line="165"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160 S. Industrial Blvd.</w:t>
      </w:r>
    </w:p>
    <w:p>
      <w:pPr>
        <w:spacing w:after="0" w:line="2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Calhoun, Georgia 30701</w:t>
      </w:r>
    </w:p>
    <w:p>
      <w:pPr>
        <w:spacing w:after="0" w:line="2"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1046480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94"/>
          </w:cols>
          <w:pgMar w:left="346" w:top="1440" w:right="55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MOHAWK INDUSTRIES RETIREMENT PLAN 1</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Index to Financial Statements, Supplemental Schedule and Exhibit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Item:</w:t>
            </w:r>
          </w:p>
        </w:tc>
        <w:tc>
          <w:tcPr>
            <w:tcW w:w="1960" w:type="dxa"/>
            <w:vAlign w:val="bottom"/>
            <w:gridSpan w:val="3"/>
          </w:tcPr>
          <w:p>
            <w:pPr>
              <w:ind w:left="1480"/>
              <w:spacing w:after="0"/>
              <w:rPr>
                <w:sz w:val="20"/>
                <w:szCs w:val="20"/>
                <w:color w:val="auto"/>
              </w:rPr>
            </w:pPr>
            <w:r>
              <w:rPr>
                <w:rFonts w:ascii="Times New Roman" w:cs="Times New Roman" w:eastAsia="Times New Roman" w:hAnsi="Times New Roman"/>
                <w:sz w:val="14"/>
                <w:szCs w:val="14"/>
                <w:color w:val="auto"/>
                <w:w w:val="96"/>
              </w:rPr>
              <w:t>Page No</w:t>
            </w:r>
          </w:p>
        </w:tc>
      </w:tr>
      <w:tr>
        <w:trPr>
          <w:trHeight w:val="283"/>
        </w:trPr>
        <w:tc>
          <w:tcPr>
            <w:tcW w:w="16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760" w:type="dxa"/>
            <w:vAlign w:val="bottom"/>
            <w:gridSpan w:val="2"/>
          </w:tcPr>
          <w:p>
            <w:pPr>
              <w:jc w:val="center"/>
              <w:ind w:left="1592"/>
              <w:spacing w:after="0"/>
              <w:rPr>
                <w:sz w:val="20"/>
                <w:szCs w:val="20"/>
                <w:color w:val="auto"/>
              </w:rPr>
            </w:pPr>
            <w:r>
              <w:rPr>
                <w:rFonts w:ascii="Times New Roman" w:cs="Times New Roman" w:eastAsia="Times New Roman" w:hAnsi="Times New Roman"/>
                <w:sz w:val="18"/>
                <w:szCs w:val="18"/>
                <w:color w:val="0000FF"/>
                <w:w w:val="88"/>
              </w:rPr>
              <w:t>3</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Statements of Net Assets Available for Plan Benefits as of December 31, 2025 and 2024</w:t>
            </w:r>
          </w:p>
        </w:tc>
        <w:tc>
          <w:tcPr>
            <w:tcW w:w="1760" w:type="dxa"/>
            <w:vAlign w:val="bottom"/>
            <w:gridSpan w:val="2"/>
          </w:tcPr>
          <w:p>
            <w:pPr>
              <w:jc w:val="center"/>
              <w:ind w:left="1592"/>
              <w:spacing w:after="0"/>
              <w:rPr>
                <w:sz w:val="20"/>
                <w:szCs w:val="20"/>
                <w:color w:val="auto"/>
              </w:rPr>
            </w:pPr>
            <w:r>
              <w:rPr>
                <w:rFonts w:ascii="Times New Roman" w:cs="Times New Roman" w:eastAsia="Times New Roman" w:hAnsi="Times New Roman"/>
                <w:sz w:val="18"/>
                <w:szCs w:val="18"/>
                <w:color w:val="0000FF"/>
                <w:w w:val="88"/>
              </w:rPr>
              <w:t>4</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Statement of Changes in Net Assets Available for Plan Benefits for the Year ended December 31, 2025</w:t>
            </w:r>
          </w:p>
        </w:tc>
        <w:tc>
          <w:tcPr>
            <w:tcW w:w="1460" w:type="dxa"/>
            <w:vAlign w:val="bottom"/>
          </w:tcPr>
          <w:p>
            <w:pPr>
              <w:spacing w:after="0"/>
              <w:rPr>
                <w:sz w:val="24"/>
                <w:szCs w:val="24"/>
                <w:color w:val="auto"/>
              </w:rPr>
            </w:pPr>
          </w:p>
        </w:tc>
        <w:tc>
          <w:tcPr>
            <w:tcW w:w="1760" w:type="dxa"/>
            <w:vAlign w:val="bottom"/>
            <w:gridSpan w:val="2"/>
          </w:tcPr>
          <w:p>
            <w:pPr>
              <w:jc w:val="center"/>
              <w:ind w:left="1592"/>
              <w:spacing w:after="0"/>
              <w:rPr>
                <w:sz w:val="20"/>
                <w:szCs w:val="20"/>
                <w:color w:val="auto"/>
              </w:rPr>
            </w:pPr>
            <w:r>
              <w:rPr>
                <w:rFonts w:ascii="Times New Roman" w:cs="Times New Roman" w:eastAsia="Times New Roman" w:hAnsi="Times New Roman"/>
                <w:sz w:val="18"/>
                <w:szCs w:val="18"/>
                <w:color w:val="0000FF"/>
                <w:w w:val="88"/>
              </w:rPr>
              <w:t>5</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2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4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Financial Statements</w:t>
            </w:r>
          </w:p>
        </w:tc>
        <w:tc>
          <w:tcPr>
            <w:tcW w:w="1460" w:type="dxa"/>
            <w:vAlign w:val="bottom"/>
          </w:tcPr>
          <w:p>
            <w:pPr>
              <w:spacing w:after="0"/>
              <w:rPr>
                <w:sz w:val="24"/>
                <w:szCs w:val="24"/>
                <w:color w:val="auto"/>
              </w:rPr>
            </w:pPr>
          </w:p>
        </w:tc>
        <w:tc>
          <w:tcPr>
            <w:tcW w:w="1760" w:type="dxa"/>
            <w:vAlign w:val="bottom"/>
            <w:gridSpan w:val="2"/>
          </w:tcPr>
          <w:p>
            <w:pPr>
              <w:jc w:val="center"/>
              <w:ind w:left="1592"/>
              <w:spacing w:after="0"/>
              <w:rPr>
                <w:sz w:val="20"/>
                <w:szCs w:val="20"/>
                <w:color w:val="auto"/>
              </w:rPr>
            </w:pPr>
            <w:r>
              <w:rPr>
                <w:rFonts w:ascii="Times New Roman" w:cs="Times New Roman" w:eastAsia="Times New Roman" w:hAnsi="Times New Roman"/>
                <w:sz w:val="18"/>
                <w:szCs w:val="18"/>
                <w:color w:val="0000FF"/>
                <w:w w:val="88"/>
              </w:rPr>
              <w:t>6</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Schedule H, Line 4i – Schedule of Assets (Held at End of Year) – December 31, 2025</w:t>
            </w:r>
          </w:p>
        </w:tc>
        <w:tc>
          <w:tcPr>
            <w:tcW w:w="1760" w:type="dxa"/>
            <w:vAlign w:val="bottom"/>
            <w:gridSpan w:val="2"/>
          </w:tcPr>
          <w:p>
            <w:pPr>
              <w:jc w:val="center"/>
              <w:ind w:left="1492"/>
              <w:spacing w:after="0"/>
              <w:rPr>
                <w:sz w:val="20"/>
                <w:szCs w:val="20"/>
                <w:color w:val="auto"/>
              </w:rPr>
            </w:pPr>
            <w:r>
              <w:rPr>
                <w:rFonts w:ascii="Times New Roman" w:cs="Times New Roman" w:eastAsia="Times New Roman" w:hAnsi="Times New Roman"/>
                <w:sz w:val="18"/>
                <w:szCs w:val="18"/>
                <w:color w:val="0000FF"/>
                <w:w w:val="99"/>
              </w:rPr>
              <w:t>13</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61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700" w:type="dxa"/>
            <w:vAlign w:val="bottom"/>
            <w:gridSpan w:val="3"/>
          </w:tcPr>
          <w:p>
            <w:pPr>
              <w:spacing w:after="0"/>
              <w:rPr>
                <w:sz w:val="24"/>
                <w:szCs w:val="24"/>
                <w:color w:val="auto"/>
              </w:rPr>
            </w:pPr>
          </w:p>
        </w:tc>
        <w:tc>
          <w:tcPr>
            <w:tcW w:w="1760" w:type="dxa"/>
            <w:vAlign w:val="bottom"/>
            <w:gridSpan w:val="2"/>
          </w:tcPr>
          <w:p>
            <w:pPr>
              <w:jc w:val="center"/>
              <w:ind w:left="1492"/>
              <w:spacing w:after="0"/>
              <w:rPr>
                <w:sz w:val="20"/>
                <w:szCs w:val="20"/>
                <w:color w:val="auto"/>
              </w:rPr>
            </w:pPr>
            <w:r>
              <w:rPr>
                <w:rFonts w:ascii="Times New Roman" w:cs="Times New Roman" w:eastAsia="Times New Roman" w:hAnsi="Times New Roman"/>
                <w:sz w:val="18"/>
                <w:szCs w:val="18"/>
                <w:color w:val="0000FF"/>
                <w:w w:val="99"/>
              </w:rPr>
              <w:t>14</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r>
        <w:trPr>
          <w:trHeight w:val="304"/>
        </w:trPr>
        <w:tc>
          <w:tcPr>
            <w:tcW w:w="16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20" w:type="dxa"/>
            <w:vAlign w:val="bottom"/>
            <w:gridSpan w:val="6"/>
          </w:tcPr>
          <w:p>
            <w:pPr>
              <w:spacing w:after="0"/>
              <w:rPr>
                <w:sz w:val="24"/>
                <w:szCs w:val="24"/>
                <w:color w:val="auto"/>
              </w:rPr>
            </w:pPr>
          </w:p>
        </w:tc>
        <w:tc>
          <w:tcPr>
            <w:tcW w:w="1760" w:type="dxa"/>
            <w:vAlign w:val="bottom"/>
            <w:gridSpan w:val="2"/>
          </w:tcPr>
          <w:p>
            <w:pPr>
              <w:jc w:val="center"/>
              <w:ind w:left="1492"/>
              <w:spacing w:after="0"/>
              <w:rPr>
                <w:sz w:val="20"/>
                <w:szCs w:val="20"/>
                <w:color w:val="auto"/>
              </w:rPr>
            </w:pPr>
            <w:r>
              <w:rPr>
                <w:rFonts w:ascii="Times New Roman" w:cs="Times New Roman" w:eastAsia="Times New Roman" w:hAnsi="Times New Roman"/>
                <w:sz w:val="18"/>
                <w:szCs w:val="18"/>
                <w:color w:val="0000FF"/>
                <w:w w:val="99"/>
              </w:rPr>
              <w:t>15</w:t>
            </w:r>
          </w:p>
        </w:tc>
        <w:tc>
          <w:tcPr>
            <w:tcW w:w="2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413" w:right="559" w:bottom="1440" w:gutter="0" w:footer="0" w:header="0"/>
        </w:sectPr>
      </w:pPr>
    </w:p>
    <w:bookmarkStart w:id="2" w:name="page3"/>
    <w:bookmarkEnd w:id="2"/>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Participants in and Plan Administrator 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Mohawk Industries Retirement Plan 1 (the “Plan”) as of December 31, 2025 and 2024, and the related statement of changes in net assets available for benefits for the year ended December 31, 2025, and the related notes and schedule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2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supplemental information contained in the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Warren Averett,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MOHAWK INDUSTRIES RETIREMENT PLAN 1</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Plan Benefits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40" w:type="dxa"/>
            <w:vAlign w:val="bottom"/>
          </w:tcPr>
          <w:p>
            <w:pPr>
              <w:spacing w:after="0"/>
              <w:rPr>
                <w:sz w:val="16"/>
                <w:szCs w:val="16"/>
                <w:color w:val="auto"/>
              </w:rPr>
            </w:pPr>
          </w:p>
        </w:tc>
        <w:tc>
          <w:tcPr>
            <w:tcW w:w="18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3"/>
        </w:trPr>
        <w:tc>
          <w:tcPr>
            <w:tcW w:w="59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at fair value:</w:t>
            </w:r>
          </w:p>
        </w:tc>
        <w:tc>
          <w:tcPr>
            <w:tcW w:w="18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 interest in Master Trust, at fair value (notes 1, 4 and 5)</w:t>
            </w: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260.2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8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receivable from participants (note 2)</w:t>
            </w:r>
          </w:p>
        </w:tc>
        <w:tc>
          <w:tcPr>
            <w:tcW w:w="1840" w:type="dxa"/>
            <w:vAlign w:val="bottom"/>
          </w:tcPr>
          <w:p>
            <w:pPr>
              <w:spacing w:after="0"/>
              <w:rPr>
                <w:sz w:val="19"/>
                <w:szCs w:val="19"/>
                <w:color w:val="auto"/>
              </w:rPr>
            </w:pPr>
          </w:p>
        </w:tc>
        <w:tc>
          <w:tcPr>
            <w:tcW w:w="1860" w:type="dxa"/>
            <w:vAlign w:val="bottom"/>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14.7</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Contributions receivable from employer</w:t>
            </w:r>
          </w:p>
        </w:tc>
        <w:tc>
          <w:tcPr>
            <w:tcW w:w="18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0.1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Contributions receivable from participants</w:t>
            </w:r>
          </w:p>
        </w:tc>
        <w:tc>
          <w:tcPr>
            <w:tcW w:w="18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0.2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receivables</w:t>
            </w:r>
          </w:p>
        </w:tc>
        <w:tc>
          <w:tcPr>
            <w:tcW w:w="18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15.0</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w:t>
            </w:r>
          </w:p>
        </w:tc>
        <w:tc>
          <w:tcPr>
            <w:tcW w:w="1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8"/>
                <w:szCs w:val="18"/>
                <w:b w:val="1"/>
                <w:bCs w:val="1"/>
                <w:color w:val="auto"/>
              </w:rPr>
              <w:t>275.2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w:t>
            </w: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MOHAWK INDUSTRIES RETIREMENT PLAN 1</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Statement of Changes in Net Assets Available for Plan Benefits</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9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8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9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interest in gain of Master Trust (notes 1, 4 and 5)</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from employer</w:t>
            </w:r>
          </w:p>
        </w:tc>
        <w:tc>
          <w:tcPr>
            <w:tcW w:w="9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from participants</w:t>
            </w: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Rollover contributions from participants</w:t>
            </w:r>
          </w:p>
        </w:tc>
        <w:tc>
          <w:tcPr>
            <w:tcW w:w="9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r>
      <w:tr>
        <w:trPr>
          <w:trHeight w:val="229"/>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9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23"/>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additions</w:t>
            </w: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to participants</w:t>
            </w:r>
          </w:p>
        </w:tc>
        <w:tc>
          <w:tcPr>
            <w:tcW w:w="9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transfers</w:t>
            </w: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r>
      <w:tr>
        <w:trPr>
          <w:trHeight w:val="223"/>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deductions</w:t>
            </w:r>
          </w:p>
        </w:tc>
        <w:tc>
          <w:tcPr>
            <w:tcW w:w="9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w:t>
            </w:r>
          </w:p>
        </w:tc>
      </w:tr>
      <w:tr>
        <w:trPr>
          <w:trHeight w:val="223"/>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 available for plan benefits before transfers to other Mohawk Carpet, LLC Plan</w:t>
            </w:r>
          </w:p>
        </w:tc>
        <w:tc>
          <w:tcPr>
            <w:tcW w:w="9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r>
      <w:tr>
        <w:trPr>
          <w:trHeight w:val="22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Transfers:</w:t>
            </w: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transfers between affiliated plans (note 8)</w:t>
            </w: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net assets available for plan benefits</w:t>
            </w:r>
          </w:p>
        </w:tc>
        <w:tc>
          <w:tcPr>
            <w:tcW w:w="9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r>
      <w:tr>
        <w:trPr>
          <w:trHeight w:val="2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 at beginning of year</w:t>
            </w:r>
          </w:p>
        </w:tc>
        <w:tc>
          <w:tcPr>
            <w:tcW w:w="9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252.2</w:t>
            </w:r>
          </w:p>
        </w:tc>
      </w:tr>
      <w:tr>
        <w:trPr>
          <w:trHeight w:val="230"/>
        </w:trPr>
        <w:tc>
          <w:tcPr>
            <w:tcW w:w="8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available for plan benefits at end of year</w:t>
            </w:r>
          </w:p>
        </w:tc>
        <w:tc>
          <w:tcPr>
            <w:tcW w:w="9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275.2</w:t>
            </w: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13"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significant accounting policies followed by the Mohawk Industries Retirement Savings Plan 1 (the Plan) in preparing its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Basis of Presentation</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on the accrual basis of accounting and present the net assets available for plan benefits and changes in those net assets.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reported amounts of assets, liabilities, and changes therein and disclosure of contingent assets and liabilities. Actual results could differ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Investments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Mohawk Industries Retirement Plan 1 Master Trust and Mohawk Industries Retirement Plan 2 Master Trust (Master Trust) was established on January 1, 2007. As of December 31, 2025 and 2024, the Plan’s investments consist of its interest in the net assets of the Master Trust. The Master Trust is an arrangement by which investments of the Plan and one other Mohawk Carpet, LLC defined-contribution plan share a trust (see note 5). The Plan’s investment in the Master Trust is based on its equity share of the Master Trust’s net assets.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Master Trust’s investments are stated at fair value. Fair value of registered investment companies and common stocks is based on the quoted market or redemption values on the last business day of the Plan year. Securities traded on a national securities exchange are valued at the closing market price on the last business day of the Plan year. The Plan’s interest in a common collective fund is valued at net asset value ("NAV") provided by the fund's trustee as a practical expedient to estimate fair value. The NAV is based upon the fair value of the underlying investments held by the respective fund less its liabilities. This practical expedient would not be used when it is determined to be probable that the fund will sell the investment for an amount different than the reported NAV. Participant transactions (purchases and sales) may occur daily. If the Plan initiates a full redemption of the collective trust, the investment advisor reserves the right to temporarily delay withdrawal from the trust in order to ensure that securities liquidations will be carried out in an orderly business manner.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presents in the statement of changes in net assets available for plan benefits the Plan’s interest in income (loss) of the Master Trust, which consists primarily of the realized net gains (losses) on the fair value of the Master Trust investments and the unrealized net appreciation (depreciation) on those investments.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provides for investing in numerous funds, which invest in various types of investment securities and in various companies in various markets. Investment securities, generally, are exposed to several risks, such as interest rate, market, and credit risks. Due to the level of risk associated with the funds, it is reasonably possible that changes in the values of the funds will occur in the near term and such changes could materially affect the amounts reported in the financial statements and supplemental schedule of assets (held at end of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Description of the Plan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description of the Plan provides only general information. Participants should refer to the plan agreement for a more complete description of the Plan’s provisions.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General</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Plan is a defined contribution plan and covers all hourly employees, except employees in the Karastan Bigelow Group and the Lauren Park Mill Group, of Mohawk Carpet, LLC (the Company) and its affiliates located in the U.S. and Puerto Rico. The Company is a wholly owned subsidiary of Mohawk Industries, Inc. The Plan provides for retirement savings to qualified active participants through both participant and employer contributions and is subject to certain provisions of the Employee Retirement Income Security Act of 1974 as amended (ERISA). Effective November 1, 2019, full-time employees, as defined, are eligible to participate in the Plan at the beginning of the calendar month after the completion of 60 days of service. Prior to November 1, 2019, full-time employees, as defined, were eligible to participate in the Plan after the completion of 90 days of service. Part-time employees, as defined, are eligible to participate in the Plan after one year of service. Effective November 1, 2019, only full-time regular employees, as defined, will be automatically enrolled in the Plan as of his/her entry date at a contribution rate of 3% of pay unless the participant elects otherwise. Prior to November 1, 2019, all newly eligible employees were automatically enrolled at a contribution rate of 3%. Employees may opt out or discontinue contributing to the Plan at any time.</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Plan is administered by an Administrative Committee (Committee) appointed by the Company. The Committee is responsible for the control, management, and administration of the Plan and the assets. Fidelity Management Trust Company (Fidelity) is the Trustee of the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Contributions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Contributions to the Plan are made by both participants and the Company. Participants may contribute a maximum of 50% of their eligible compensation, subject to certain limitations. Participants may allocate their contributions in multiples of 1% to various investment funds of the Plan. Participants who are considered a Highly Compensated Employee by the Internal Revenue Service (IRS) definition are limited to a 6% annual deferred maximum, subject to certain limitations. Effective April 8, 2019, participants are eligible to make after-tax contributions to the Plan. Prior to April 8, 2019, after-tax contributions were not permitted under the Plan. For all participants, the Plan has a discretionary company match provision which provided 50% matching contributions up to the first 6% of each participant’s gross compensation contributed to the Plan in 2025.</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the Plan also provide for discretionary employer profit sharing contributions to plan participants employed on the last day of the plan year or terminated during the plan year on account of death, disability, or retirement. There were no discretionary employer profit sharing contributions relating to the plan year ending December 31, 2025.</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Participant Accounts</w:t>
      </w:r>
    </w:p>
    <w:p>
      <w:pPr>
        <w:spacing w:after="0" w:line="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for the period as well as the employer’s matching contribution and an allocation of any discretionary employer profit sharing contribution. Investment income, realized gains/losses, and the change in unrealized appreciation or depreciation on plan investments are credited to participants’ accounts daily based on the proportion of each participant’s account balance to the total account balance within each investment fund at the beginning of the month.</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accounts may be invested in one or more of the investment funds available under the Plan at the direction of the participant. The Plan provides for daily valuation of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Distributions to Participants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participant's account shall be distributed in a lump sum payment in cash. If any portion of the account is invested in Company stock, the participant may elect to receive the Company stock in whole shares with cash paid for fractional shares. Unless another election is made by the participant, an account balance less than $1,000 will be paid out in cash. Unless another election is made by the participant, an account balance between $1,000 and $5,000 will be rolled into a Fidelity IRA established for the participant's benefit and the account balance will be invested in the Fidelity Cash Reserves Fund, an investment product designed to preserve principal and provide a reasonable rate of return.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Plan, participants may make hardship withdrawals from their accounts upon furnishing proof of hardship as specified in the plan agreement. Participants may also borrow the lesser of $50,000 or 50% of the value of their accounts subject to limitations provided by the Plan. Loans must be paid back to the Plan generally within four years of the loan date, with the exception of home equity loans.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are recorded when paid.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Vesting</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Participants are immediately vested in their contributions and any income earned on such contributions. Participants are vested in the Company’s matching and discretionary contributions after one year of service.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Amounts forfeited by participants who terminate from the Plan prior to being 100% vested are applied to reduce subsequent Company contributions to the Plan and/or administrative expenses. In 2025, $0.2 million of forfeited funds were used to pay administrative expenses. As of December 31, 2025 and 2024, forfeited balances were $0.5 million and $0.5 million,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Administrative Expenses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administrative expenses of the Plan are paid by the Company. These costs include legal, accounting, and certain administrative fees. All other Plan related expenses are paid by the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 Notes Receivable from Participants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Participants may borrow from their accounts a minimum of $1,000 up to a maximum equal to the lesser of $50,000 or 50% of their vested account balance. Loans are measured at their unpaid balance plus any accrued but unpaid interest. Delinquent loans from participants are reclassified as distributions based upon the terms of the Plan document in compliance with IRS guidelines. Loan payments are made through payroll deductions with interest based on the prime interest rate as listed in the Wall Street Journal on the first day of the calendar quarter in which the loan is made plus 1.0%. Generally, loans must be repaid over a period not to exceed four years.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Transactions with Parties in Interest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Master Trust held investments in Mohawk Industries, Inc. common stock, registered investment companies and a common collective fund that are sponsored by the Trustee. In addition, administrative fees were paid for recordkeeping functions of the Plan, which qualify as exempt parties in interest transactions.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Fidelity receives revenue from the Plan's money market investment for services Fidelity provides to the fund. This revenue is used to offset certain amounts owed to Fidelity for its administrative services provided to the Plan. If the revenue received by Fidelity were to exceed the amount owed under the trust agreement, Fidelity would remit the excess to the Plan's trust and such amounts could be applied to pay plan administrative expenses or allocated to the accounts of participants. Revenue received during 2025 was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for an asset or paid to transfer a liability (an exit price) in the principal or most advantageous market for the asset or liability in an orderly transaction between market participants on the measurement date. The Financial Accounting Standards Board Accounting Standards Codification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1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inputs that are observable or corroborated by observable market data for substantially the full term of the assets or liabilities.</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 This category generally includes certain private debt and equity instruments and alternative investments.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or liability’s classification within the fair value hierarchy is based on the lowest level of significant input to its valuation.</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Fair value estimates are made at a specific point in time, based on available market information and judgments about the financial asset, including estimates of timing, amount of expected future cash flows and the credit standing of the issuer. In some cases, the fair value estimates cannot be substantiated by comparison to independent markets. In addition, the disclosed fair value may not be realized in the immediate settlement of the financial asset. In addition, the disclosed fair values do not reflect any premium or discount that could result from offering for sale at one time an entire holding of a particular financial asset. Potential taxes and other expenses that would be incurred in an actual sale or settlement are not reflected in amounts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Master Trust’s fair value hierarchy for those assets measured at fair value as of December 31, 2025 and 2024:</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Fair Value</w:t>
            </w:r>
          </w:p>
        </w:tc>
        <w:tc>
          <w:tcPr>
            <w:tcW w:w="25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rPr>
              <w:t>Level 1</w:t>
            </w: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Level 2</w:t>
            </w:r>
          </w:p>
        </w:tc>
        <w:tc>
          <w:tcPr>
            <w:tcW w:w="1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540" w:type="dxa"/>
            <w:vAlign w:val="bottom"/>
            <w:tcBorders>
              <w:left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rPr>
              <w:t>18.9</w:t>
            </w:r>
          </w:p>
        </w:tc>
        <w:tc>
          <w:tcPr>
            <w:tcW w:w="1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Mohawk Industries, Inc. common stock fund</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2540" w:type="dxa"/>
            <w:vAlign w:val="bottom"/>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rPr>
              <w:t>23.7</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1,080.2</w:t>
            </w:r>
          </w:p>
        </w:tc>
        <w:tc>
          <w:tcPr>
            <w:tcW w:w="2540" w:type="dxa"/>
            <w:vAlign w:val="bottom"/>
            <w:tcBorders>
              <w:left w:val="single" w:sz="8" w:color="CCEEFF"/>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rPr>
              <w:t>1,080.2</w:t>
            </w:r>
          </w:p>
        </w:tc>
        <w:tc>
          <w:tcPr>
            <w:tcW w:w="13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in hierarchy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1,122.8</w:t>
            </w:r>
          </w:p>
        </w:tc>
        <w:tc>
          <w:tcPr>
            <w:tcW w:w="2540" w:type="dxa"/>
            <w:vAlign w:val="bottom"/>
          </w:tcPr>
          <w:p>
            <w:pPr>
              <w:jc w:val="right"/>
              <w:ind w:right="876"/>
              <w:spacing w:after="0"/>
              <w:rPr>
                <w:sz w:val="20"/>
                <w:szCs w:val="20"/>
                <w:color w:val="auto"/>
              </w:rPr>
            </w:pPr>
            <w:r>
              <w:rPr>
                <w:rFonts w:ascii="Times New Roman" w:cs="Times New Roman" w:eastAsia="Times New Roman" w:hAnsi="Times New Roman"/>
                <w:sz w:val="18"/>
                <w:szCs w:val="18"/>
                <w:b w:val="1"/>
                <w:bCs w:val="1"/>
                <w:color w:val="auto"/>
              </w:rPr>
              <w:t>1,122.8</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 at NAV</w:t>
            </w:r>
            <w:r>
              <w:rPr>
                <w:rFonts w:ascii="Times New Roman" w:cs="Times New Roman" w:eastAsia="Times New Roman" w:hAnsi="Times New Roman"/>
                <w:sz w:val="23"/>
                <w:szCs w:val="23"/>
                <w:color w:val="auto"/>
                <w:vertAlign w:val="superscript"/>
              </w:rPr>
              <w:t>(a)</w:t>
            </w:r>
          </w:p>
        </w:tc>
        <w:tc>
          <w:tcPr>
            <w:tcW w:w="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106.8</w:t>
            </w:r>
          </w:p>
        </w:tc>
        <w:tc>
          <w:tcPr>
            <w:tcW w:w="2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6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1,229.6</w:t>
            </w:r>
          </w:p>
        </w:tc>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54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December 31, 2024</w:t>
            </w: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66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Fair Value</w:t>
            </w:r>
          </w:p>
        </w:tc>
        <w:tc>
          <w:tcPr>
            <w:tcW w:w="254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4"/>
                <w:szCs w:val="14"/>
                <w:color w:val="auto"/>
              </w:rPr>
              <w:t>Level 1</w:t>
            </w:r>
          </w:p>
        </w:tc>
        <w:tc>
          <w:tcPr>
            <w:tcW w:w="13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Level 2</w:t>
            </w:r>
          </w:p>
        </w:tc>
        <w:tc>
          <w:tcPr>
            <w:tcW w:w="1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6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540" w:type="dxa"/>
            <w:vAlign w:val="bottom"/>
            <w:tcBorders>
              <w:left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33.2</w:t>
            </w:r>
          </w:p>
        </w:tc>
        <w:tc>
          <w:tcPr>
            <w:tcW w:w="1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Mohawk Industries, Inc. common stock fund</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54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27.5</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540" w:type="dxa"/>
            <w:vAlign w:val="bottom"/>
            <w:tcBorders>
              <w:left w:val="single" w:sz="8" w:color="CCEEFF"/>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962.2</w:t>
            </w:r>
          </w:p>
        </w:tc>
        <w:tc>
          <w:tcPr>
            <w:tcW w:w="13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 in hierarchy</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254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1,022.9</w:t>
            </w:r>
          </w:p>
        </w:tc>
        <w:tc>
          <w:tcPr>
            <w:tcW w:w="1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 at NAV</w:t>
            </w:r>
            <w:r>
              <w:rPr>
                <w:rFonts w:ascii="Times New Roman" w:cs="Times New Roman" w:eastAsia="Times New Roman" w:hAnsi="Times New Roman"/>
                <w:sz w:val="23"/>
                <w:szCs w:val="23"/>
                <w:color w:val="auto"/>
                <w:vertAlign w:val="superscript"/>
              </w:rPr>
              <w:t>(a)</w:t>
            </w:r>
          </w:p>
        </w:tc>
        <w:tc>
          <w:tcPr>
            <w:tcW w:w="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540" w:type="dxa"/>
            <w:vAlign w:val="bottom"/>
            <w:tcBorders>
              <w:left w:val="single" w:sz="8" w:color="CCEEFF"/>
            </w:tcBorders>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6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2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8"/>
        <w:spacing w:after="0" w:line="235" w:lineRule="auto"/>
        <w:tabs>
          <w:tab w:leader="none" w:pos="18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accordance with Subtopic 820-10,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 These investments can be redeemed daily and have no unfunded commitments.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Master Trust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divided interest in Master Trust's fair value as of December 31,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40" w:type="dxa"/>
            <w:vAlign w:val="bottom"/>
            <w:gridSpan w:val="2"/>
          </w:tcPr>
          <w:p>
            <w:pPr>
              <w:jc w:val="right"/>
              <w:ind w:right="141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900" w:type="dxa"/>
            <w:vAlign w:val="bottom"/>
            <w:gridSpan w:val="2"/>
          </w:tcPr>
          <w:p>
            <w:pPr>
              <w:jc w:val="right"/>
              <w:ind w:right="935"/>
              <w:spacing w:after="0"/>
              <w:rPr>
                <w:sz w:val="20"/>
                <w:szCs w:val="20"/>
                <w:color w:val="auto"/>
              </w:rPr>
            </w:pPr>
            <w:r>
              <w:rPr>
                <w:rFonts w:ascii="Times New Roman" w:cs="Times New Roman" w:eastAsia="Times New Roman" w:hAnsi="Times New Roman"/>
                <w:sz w:val="14"/>
                <w:szCs w:val="14"/>
                <w:color w:val="auto"/>
              </w:rPr>
              <w:t>December 31, 2024</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60" w:type="dxa"/>
            <w:vAlign w:val="bottom"/>
          </w:tcPr>
          <w:p>
            <w:pPr>
              <w:spacing w:after="0"/>
              <w:rPr>
                <w:sz w:val="11"/>
                <w:szCs w:val="11"/>
                <w:color w:val="auto"/>
              </w:rPr>
            </w:pPr>
          </w:p>
        </w:tc>
        <w:tc>
          <w:tcPr>
            <w:tcW w:w="122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color w:val="auto"/>
              </w:rPr>
              <w:t>Master Trust</w:t>
            </w:r>
          </w:p>
        </w:tc>
        <w:tc>
          <w:tcPr>
            <w:tcW w:w="2020" w:type="dxa"/>
            <w:vAlign w:val="bottom"/>
          </w:tcPr>
          <w:p>
            <w:pPr>
              <w:jc w:val="right"/>
              <w:ind w:right="395"/>
              <w:spacing w:after="0" w:line="133" w:lineRule="exact"/>
              <w:rPr>
                <w:sz w:val="20"/>
                <w:szCs w:val="20"/>
                <w:color w:val="auto"/>
              </w:rPr>
            </w:pPr>
            <w:r>
              <w:rPr>
                <w:rFonts w:ascii="Times New Roman" w:cs="Times New Roman" w:eastAsia="Times New Roman" w:hAnsi="Times New Roman"/>
                <w:sz w:val="14"/>
                <w:szCs w:val="14"/>
                <w:color w:val="auto"/>
              </w:rPr>
              <w:t>Plan's Interest in Master</w:t>
            </w:r>
          </w:p>
        </w:tc>
        <w:tc>
          <w:tcPr>
            <w:tcW w:w="136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Master Trust</w:t>
            </w:r>
          </w:p>
        </w:tc>
        <w:tc>
          <w:tcPr>
            <w:tcW w:w="15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Plan's Interest in Master</w:t>
            </w:r>
          </w:p>
        </w:tc>
        <w:tc>
          <w:tcPr>
            <w:tcW w:w="0" w:type="dxa"/>
            <w:vAlign w:val="bottom"/>
          </w:tcPr>
          <w:p>
            <w:pPr>
              <w:spacing w:after="0"/>
              <w:rPr>
                <w:sz w:val="1"/>
                <w:szCs w:val="1"/>
                <w:color w:val="auto"/>
              </w:rPr>
            </w:pPr>
          </w:p>
        </w:tc>
      </w:tr>
      <w:tr>
        <w:trPr>
          <w:trHeight w:val="193"/>
        </w:trPr>
        <w:tc>
          <w:tcPr>
            <w:tcW w:w="46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Trust</w:t>
            </w:r>
          </w:p>
        </w:tc>
        <w:tc>
          <w:tcPr>
            <w:tcW w:w="136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Trust</w:t>
            </w:r>
          </w:p>
        </w:tc>
        <w:tc>
          <w:tcPr>
            <w:tcW w:w="0" w:type="dxa"/>
            <w:vAlign w:val="bottom"/>
          </w:tcPr>
          <w:p>
            <w:pPr>
              <w:spacing w:after="0"/>
              <w:rPr>
                <w:sz w:val="1"/>
                <w:szCs w:val="1"/>
                <w:color w:val="auto"/>
              </w:rPr>
            </w:pPr>
          </w:p>
        </w:tc>
      </w:tr>
      <w:tr>
        <w:trPr>
          <w:trHeight w:val="228"/>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18.9</w:t>
            </w:r>
          </w:p>
        </w:tc>
        <w:tc>
          <w:tcPr>
            <w:tcW w:w="202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3.6</w:t>
            </w:r>
          </w:p>
        </w:tc>
        <w:tc>
          <w:tcPr>
            <w:tcW w:w="13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33.2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Mohawk Industries, Inc. common stock fund</w:t>
            </w:r>
          </w:p>
        </w:tc>
        <w:tc>
          <w:tcPr>
            <w:tcW w:w="460" w:type="dxa"/>
            <w:vAlign w:val="bottom"/>
          </w:tcPr>
          <w:p>
            <w:pPr>
              <w:spacing w:after="0"/>
              <w:rPr>
                <w:sz w:val="19"/>
                <w:szCs w:val="19"/>
                <w:color w:val="auto"/>
              </w:rPr>
            </w:pPr>
          </w:p>
        </w:tc>
        <w:tc>
          <w:tcPr>
            <w:tcW w:w="122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23.7</w:t>
            </w:r>
          </w:p>
        </w:tc>
        <w:tc>
          <w:tcPr>
            <w:tcW w:w="2020" w:type="dxa"/>
            <w:vAlign w:val="bottom"/>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3.7</w:t>
            </w:r>
          </w:p>
        </w:tc>
        <w:tc>
          <w:tcPr>
            <w:tcW w:w="136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27.5</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1,080.2</w:t>
            </w:r>
          </w:p>
        </w:tc>
        <w:tc>
          <w:tcPr>
            <w:tcW w:w="202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210.9</w:t>
            </w:r>
          </w:p>
        </w:tc>
        <w:tc>
          <w:tcPr>
            <w:tcW w:w="136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962.2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collective funds</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106.8</w:t>
            </w:r>
          </w:p>
        </w:tc>
        <w:tc>
          <w:tcPr>
            <w:tcW w:w="2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42.0</w:t>
            </w:r>
          </w:p>
        </w:tc>
        <w:tc>
          <w:tcPr>
            <w:tcW w:w="13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113.4</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1,229.6</w:t>
            </w:r>
          </w:p>
        </w:tc>
        <w:tc>
          <w:tcPr>
            <w:tcW w:w="202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rPr>
              <w:t>260.2</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1,136.3</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 income has been allocated among the Plans based on the respective participants’ interest. Changes in net assets of the Master Trust for the plan year ended December 31, 2025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3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dividends</w:t>
            </w:r>
          </w:p>
        </w:tc>
        <w:tc>
          <w:tcPr>
            <w:tcW w:w="3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r>
      <w:tr>
        <w:trPr>
          <w:trHeight w:val="229"/>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w:t>
            </w:r>
          </w:p>
        </w:tc>
      </w:tr>
      <w:tr>
        <w:trPr>
          <w:trHeight w:val="230"/>
        </w:trPr>
        <w:tc>
          <w:tcPr>
            <w:tcW w:w="6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gain from Master Trust</w:t>
            </w:r>
          </w:p>
        </w:tc>
        <w:tc>
          <w:tcPr>
            <w:tcW w:w="34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158.3</w:t>
            </w: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 Status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IRS has determined and informed the Company by a letter dated February 12, 2016, that the Plan and related trust are designed in accordance with applicable sections of the Internal Revenue Code (IRC). The Plan has been amended subsequent to receiving the determination letter; however, the plan administrator believes that the Plan is designed and currently being operated in compliance with the applicable requirements of the IRC.</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generally accepted accounting principles requires plan management to evaluate uncertain tax positions taken by the Plan. The financial statement effects of a tax position are recognized when the position is more likely than not, based on the technical merits, to be sustained upon examination by the IRS. Plan management has analyzed the tax positions taken by the Plan, and has concluded that as of December 31, 2025,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Plan Termination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it is the Company’s intention to continue the Plan indefinitely, the Company has the right under the Plan to discontinue its contributions at any time and to terminate the Plan subject to the provisions of ERISA and the Plan agreement. In the event of Plan termination, participants will become 100% vested in their accounts.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Transfers Between Affiliated Plans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Along with this Plan, the Company also sponsors the Mohawk Industries Retirement Plan 2. During 2025, due to changes in employment status, net transfers between the plans were $0.6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Reconciliation to Form 5500</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net assets available for plan benefits per financial statements to net assets per Form 5500 as of December 31,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60" w:type="dxa"/>
            <w:vAlign w:val="bottom"/>
          </w:tcPr>
          <w:p>
            <w:pPr>
              <w:spacing w:after="0"/>
              <w:rPr>
                <w:sz w:val="16"/>
                <w:szCs w:val="16"/>
                <w:color w:val="auto"/>
              </w:rPr>
            </w:pPr>
          </w:p>
        </w:tc>
        <w:tc>
          <w:tcPr>
            <w:tcW w:w="17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31, 2024</w:t>
            </w:r>
          </w:p>
        </w:tc>
      </w:tr>
      <w:tr>
        <w:trPr>
          <w:trHeight w:val="23"/>
        </w:trPr>
        <w:tc>
          <w:tcPr>
            <w:tcW w:w="67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plan benefits per the accompanying financial statements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275.2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29"/>
        </w:trPr>
        <w:tc>
          <w:tcPr>
            <w:tcW w:w="6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Deemed loans</w:t>
            </w:r>
          </w:p>
        </w:tc>
        <w:tc>
          <w:tcPr>
            <w:tcW w:w="1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(1.0)</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plan benefits per Form 5500</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274.2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benefit payments per financial statements and Form 5500 for the year ended December 31,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5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3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participants per the accompanying financial statements</w:t>
            </w:r>
          </w:p>
        </w:tc>
        <w:tc>
          <w:tcPr>
            <w:tcW w:w="2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r>
      <w:tr>
        <w:trPr>
          <w:trHeight w:val="230"/>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 in deemed loans</w:t>
            </w:r>
          </w:p>
        </w:tc>
        <w:tc>
          <w:tcPr>
            <w:tcW w:w="25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r>
      <w:tr>
        <w:trPr>
          <w:trHeight w:val="230"/>
        </w:trPr>
        <w:tc>
          <w:tcPr>
            <w:tcW w:w="7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to participants per Form 5500</w:t>
            </w:r>
          </w:p>
        </w:tc>
        <w:tc>
          <w:tcPr>
            <w:tcW w:w="25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p>
      <w:pPr>
        <w:spacing w:after="0" w:line="7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90"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 Identity of issue</w:t>
            </w:r>
          </w:p>
        </w:tc>
        <w:tc>
          <w:tcPr>
            <w:tcW w:w="3740" w:type="dxa"/>
            <w:vAlign w:val="bottom"/>
          </w:tcPr>
          <w:p>
            <w:pPr>
              <w:jc w:val="center"/>
              <w:ind w:left="1595"/>
              <w:spacing w:after="0"/>
              <w:rPr>
                <w:sz w:val="20"/>
                <w:szCs w:val="20"/>
                <w:color w:val="auto"/>
              </w:rPr>
            </w:pPr>
            <w:r>
              <w:rPr>
                <w:rFonts w:ascii="Times New Roman" w:cs="Times New Roman" w:eastAsia="Times New Roman" w:hAnsi="Times New Roman"/>
                <w:sz w:val="14"/>
                <w:szCs w:val="14"/>
                <w:color w:val="auto"/>
              </w:rPr>
              <w:t>Description of investment</w:t>
            </w:r>
          </w:p>
        </w:tc>
        <w:tc>
          <w:tcPr>
            <w:tcW w:w="9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Current value</w:t>
            </w:r>
          </w:p>
        </w:tc>
        <w:tc>
          <w:tcPr>
            <w:tcW w:w="0" w:type="dxa"/>
            <w:vAlign w:val="bottom"/>
          </w:tcPr>
          <w:p>
            <w:pPr>
              <w:spacing w:after="0"/>
              <w:rPr>
                <w:sz w:val="1"/>
                <w:szCs w:val="1"/>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interest in Master Trust, at fair value</w:t>
            </w:r>
          </w:p>
        </w:tc>
        <w:tc>
          <w:tcPr>
            <w:tcW w:w="37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150"/>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740" w:type="dxa"/>
            <w:vAlign w:val="bottom"/>
          </w:tcPr>
          <w:p>
            <w:pPr>
              <w:jc w:val="right"/>
              <w:ind w:right="915"/>
              <w:spacing w:after="0"/>
              <w:rPr>
                <w:sz w:val="20"/>
                <w:szCs w:val="20"/>
                <w:color w:val="auto"/>
              </w:rPr>
            </w:pPr>
            <w:r>
              <w:rPr>
                <w:rFonts w:ascii="Times New Roman" w:cs="Times New Roman" w:eastAsia="Times New Roman" w:hAnsi="Times New Roman"/>
                <w:sz w:val="12"/>
                <w:szCs w:val="12"/>
                <w:color w:val="auto"/>
              </w:rPr>
              <w:t>(1)</w:t>
            </w:r>
          </w:p>
        </w:tc>
        <w:tc>
          <w:tcPr>
            <w:tcW w:w="96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86"/>
        </w:trPr>
        <w:tc>
          <w:tcPr>
            <w:tcW w:w="5160" w:type="dxa"/>
            <w:vAlign w:val="bottom"/>
            <w:tcBorders>
              <w:bottom w:val="single" w:sz="8" w:color="auto"/>
            </w:tcBorders>
            <w:vMerge w:val="continue"/>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13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parties-in-interest to the Plan.</w:t>
      </w:r>
    </w:p>
    <w:p>
      <w:pPr>
        <w:spacing w:after="0" w:line="252" w:lineRule="exact"/>
        <w:rPr>
          <w:sz w:val="20"/>
          <w:szCs w:val="20"/>
          <w:color w:val="auto"/>
        </w:rPr>
      </w:pPr>
    </w:p>
    <w:p>
      <w:pPr>
        <w:ind w:firstLine="8"/>
        <w:spacing w:after="0" w:line="229" w:lineRule="auto"/>
        <w:tabs>
          <w:tab w:leader="none" w:pos="194"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are consummated at a fixed rate (the current prime rate plus 1.00%) with maturity dates through September 24, 2035. Interest rates range from 4.25% to 9.50% on loans outstanding.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Plan</w:t>
      </w:r>
      <w:r>
        <w:rPr>
          <w:rFonts w:ascii="Times New Roman" w:cs="Times New Roman" w:eastAsia="Times New Roman" w:hAnsi="Times New Roman"/>
          <w:sz w:val="18"/>
          <w:szCs w:val="18"/>
          <w:color w:val="auto"/>
        </w:rPr>
        <w:t>. Pursuant to the requirements of the Securities Exchange Act of 1934, the Plan Administrator has duly caused this annual report to be signed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8"/>
          <w:szCs w:val="18"/>
          <w:u w:val="single" w:color="auto"/>
          <w:color w:val="auto"/>
        </w:rPr>
        <w:t>Mohawk Industries Retirement Plan 1</w:t>
      </w:r>
    </w:p>
    <w:p>
      <w:pPr>
        <w:jc w:val="center"/>
        <w:ind w:left="6260"/>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86" w:lineRule="exact"/>
        <w:rPr>
          <w:sz w:val="20"/>
          <w:szCs w:val="20"/>
          <w:color w:val="auto"/>
        </w:rPr>
      </w:pPr>
    </w:p>
    <w:p>
      <w:pPr>
        <w:ind w:left="20"/>
        <w:spacing w:after="0"/>
        <w:tabs>
          <w:tab w:leader="none" w:pos="7900" w:val="left"/>
        </w:tabs>
        <w:rPr>
          <w:sz w:val="20"/>
          <w:szCs w:val="20"/>
          <w:color w:val="auto"/>
        </w:rPr>
      </w:pPr>
      <w:r>
        <w:rPr>
          <w:rFonts w:ascii="Times New Roman" w:cs="Times New Roman" w:eastAsia="Times New Roman" w:hAnsi="Times New Roman"/>
          <w:sz w:val="18"/>
          <w:szCs w:val="18"/>
          <w:color w:val="auto"/>
        </w:rPr>
        <w:t>June 24, 2026</w:t>
      </w:r>
      <w:r>
        <w:rPr>
          <w:sz w:val="20"/>
          <w:szCs w:val="20"/>
          <w:color w:val="auto"/>
        </w:rPr>
        <w:tab/>
      </w:r>
      <w:r>
        <w:rPr>
          <w:rFonts w:ascii="Times New Roman" w:cs="Times New Roman" w:eastAsia="Times New Roman" w:hAnsi="Times New Roman"/>
          <w:sz w:val="17"/>
          <w:szCs w:val="17"/>
          <w:color w:val="auto"/>
        </w:rPr>
        <w:t>By: /s/ Katie Engleman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33775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Senior Vice President, 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jc w:val="right"/>
        <w:ind w:right="3699"/>
        <w:spacing w:after="0"/>
        <w:rPr>
          <w:sz w:val="20"/>
          <w:szCs w:val="20"/>
          <w:color w:val="auto"/>
        </w:rPr>
      </w:pPr>
      <w:r>
        <w:rPr>
          <w:rFonts w:ascii="Times New Roman" w:cs="Times New Roman" w:eastAsia="Times New Roman" w:hAnsi="Times New Roman"/>
          <w:sz w:val="18"/>
          <w:szCs w:val="18"/>
          <w:color w:val="auto"/>
        </w:rPr>
        <w:t>Exhibits to Form 11-K</w:t>
      </w:r>
    </w:p>
    <w:p>
      <w:pPr>
        <w:spacing w:after="0" w:line="293"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8"/>
          <w:szCs w:val="18"/>
          <w:color w:val="auto"/>
        </w:rPr>
        <w:t>Exhibit 23.1</w:t>
      </w:r>
      <w:r>
        <w:rPr>
          <w:sz w:val="20"/>
          <w:szCs w:val="20"/>
          <w:color w:val="auto"/>
        </w:rPr>
        <w:tab/>
      </w:r>
      <w:r>
        <w:rPr>
          <w:rFonts w:ascii="Times New Roman" w:cs="Times New Roman" w:eastAsia="Times New Roman" w:hAnsi="Times New Roman"/>
          <w:sz w:val="17"/>
          <w:szCs w:val="17"/>
          <w:u w:val="single" w:color="auto"/>
          <w:color w:val="0000FF"/>
        </w:rPr>
        <w:t>Consent of Warren Averett,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679"/>
          </w:cols>
          <w:pgMar w:left="780" w:top="1417"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Administrator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Carpet,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Mohawk Industries Retirement Plan 1:</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(Nos. 333-249879 and 333-213078) on Form S-8 of Mohawk Industries, Inc. of our report dated June 24, 2026, with respect to the statements of net assets available for plan benefits of the Mohawk Industries Retirement Plan 1 as of December 31, 2025 and 2024, the related statement of changes in net assets available for plan benefits for the year ended December 31, 2025, and the supplemental schedule H, Line 4i - schedule of assets (held at end of year), as of December 31, 2025, which appears in the December 31, 2025 annual report on Form 11-K of the Mohawk Industries Retirement Plan 1.</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Warren Averett,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2026-06-24T15:11:08Z</dcterms:created>
  <dcterms:modified xsi:type="dcterms:W3CDTF">2026-06-24T15:11:08Z</dcterms:modified>
</cp:coreProperties>
</file>