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HELEN SUZANNE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MOHAWK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ANTIOCH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Possible Member of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0"/>
        <w:gridCol w:w="906"/>
        <w:gridCol w:w="776"/>
        <w:gridCol w:w="602"/>
        <w:gridCol w:w="344"/>
        <w:gridCol w:w="786"/>
        <w:gridCol w:w="441"/>
        <w:gridCol w:w="884"/>
        <w:gridCol w:w="1142"/>
        <w:gridCol w:w="983"/>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125.62</w:t>
            </w:r>
            <w:r>
              <w:rPr>
                <w:rFonts w:ascii="Times;serif" w:hAnsi="Times;serif"/>
                <w:color w:val="008000"/>
                <w:position w:val="7"/>
                <w:sz w:val="16"/>
                <w:sz w:val="20"/>
                <w:shd w:fill="FFFFFF" w:val="clear"/>
              </w:rPr>
              <w:t>(1)</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PASTrust fbo Suzanne Helen</w:t>
            </w:r>
          </w:p>
        </w:tc>
      </w:tr>
      <w:tr>
        <w:trPr/>
        <w:tc>
          <w:tcPr>
            <w:tcW w:w="22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141,646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Ltd Ptrshp</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shown is the weighted average price at which shares were sold in multiple sales transactions made pursuant to a single market order. The range of prices for the transactions made was $125.47 to $125.79. Upon request by SEC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Reporting Person may be considered part of a "group" with certain family members holding issuer shares; however, Reporting Person disclaims existence of such a "group" and disclaims beneficial ownership of any shares not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Suzanne Helen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373"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3917</Characters>
  <CharactersWithSpaces>4571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