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45" w:before="0" w:after="0"/>
        <w:jc w:val="left"/>
        <w:rPr>
          <w:color w:val="000000"/>
        </w:rPr>
      </w:pPr>
      <w:r>
        <w:rPr>
          <w:color w:val="000000"/>
        </w:rPr>
        <w:t> </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345"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30, 2026 </w:t>
      </w:r>
    </w:p>
    <w:p>
      <w:pPr>
        <w:pStyle w:val="TextBody"/>
        <w:bidi w:val="0"/>
        <w:spacing w:before="0" w:after="0"/>
        <w:jc w:val="center"/>
        <w:rPr/>
      </w:pPr>
      <w:r>
        <w:rPr/>
      </w:r>
    </w:p>
    <w:p>
      <w:pPr>
        <w:pStyle w:val="TextBody"/>
        <w:bidi w:val="0"/>
        <w:spacing w:before="0" w:after="0"/>
        <w:jc w:val="center"/>
        <w:rPr/>
      </w:pPr>
      <w:r>
        <w:rPr/>
        <w:drawing>
          <wp:inline distT="0" distB="0" distL="0" distR="0">
            <wp:extent cx="166687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7524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MOHAWK INDUSTRIES,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345" w:before="0" w:after="0"/>
        <w:jc w:val="left"/>
        <w:rPr>
          <w:color w:val="000000"/>
        </w:rPr>
      </w:pPr>
      <w:r>
        <w:rPr>
          <w:color w:val="000000"/>
        </w:rPr>
        <w:t> </w:t>
      </w:r>
    </w:p>
    <w:tbl>
      <w:tblPr>
        <w:tblW w:w="6838" w:type="dxa"/>
        <w:jc w:val="left"/>
        <w:tblInd w:w="0" w:type="dxa"/>
        <w:tblLayout w:type="fixed"/>
        <w:tblCellMar>
          <w:top w:w="28" w:type="dxa"/>
          <w:left w:w="28" w:type="dxa"/>
          <w:bottom w:w="28" w:type="dxa"/>
          <w:right w:w="28" w:type="dxa"/>
        </w:tblCellMar>
      </w:tblPr>
      <w:tblGrid>
        <w:gridCol w:w="1199"/>
        <w:gridCol w:w="1053"/>
        <w:gridCol w:w="1063"/>
        <w:gridCol w:w="677"/>
        <w:gridCol w:w="677"/>
        <w:gridCol w:w="685"/>
        <w:gridCol w:w="432"/>
        <w:gridCol w:w="432"/>
        <w:gridCol w:w="620"/>
      </w:tblGrid>
      <w:tr>
        <w:trPr/>
        <w:tc>
          <w:tcPr>
            <w:tcW w:w="119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01-13697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52-1604305</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160 S. Industrial Blvd., Calhoun, Georgia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30701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(706) 629-7721</w:t>
      </w:r>
    </w:p>
    <w:p>
      <w:pPr>
        <w:pStyle w:val="TextBody"/>
        <w:bidi w:val="0"/>
        <w:spacing w:before="6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180" w:after="283"/>
        <w:jc w:val="left"/>
        <w:rPr>
          <w:color w:val="000000"/>
        </w:rPr>
      </w:pPr>
      <w:r>
        <w:rPr>
          <w:color w:val="000000"/>
        </w:rPr>
        <w:t xml:space="preserve">☐  </w:t>
      </w:r>
      <w:r>
        <w:rPr>
          <w:rFonts w:ascii="Times New Roman;serif" w:hAnsi="Times New Roman;serif"/>
          <w:b w:val="false"/>
          <w:color w:val="000000"/>
          <w:sz w:val="20"/>
        </w:rPr>
        <w:t>Written communication pursuant to Rule 425 under Securities Act (17 CFR 230.425)</w:t>
      </w:r>
    </w:p>
    <w:p>
      <w:pPr>
        <w:pStyle w:val="TextBody"/>
        <w:bidi w:val="0"/>
        <w:spacing w:lineRule="auto" w:line="345"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45"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(CFR 240.14d-2(b))</w:t>
      </w:r>
    </w:p>
    <w:p>
      <w:pPr>
        <w:pStyle w:val="TextBody"/>
        <w:bidi w:val="0"/>
        <w:spacing w:lineRule="auto" w:line="345"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(CFR 240.17R 240.13e-4(c))</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28" w:type="dxa"/>
        <w:jc w:val="center"/>
        <w:tblInd w:w="0" w:type="dxa"/>
        <w:tblLayout w:type="fixed"/>
        <w:tblCellMar>
          <w:top w:w="28" w:type="dxa"/>
          <w:left w:w="28" w:type="dxa"/>
          <w:bottom w:w="28" w:type="dxa"/>
          <w:right w:w="28" w:type="dxa"/>
        </w:tblCellMar>
      </w:tblPr>
      <w:tblGrid>
        <w:gridCol w:w="898"/>
        <w:gridCol w:w="793"/>
        <w:gridCol w:w="798"/>
        <w:gridCol w:w="424"/>
        <w:gridCol w:w="424"/>
        <w:gridCol w:w="426"/>
        <w:gridCol w:w="1014"/>
        <w:gridCol w:w="1014"/>
        <w:gridCol w:w="1437"/>
      </w:tblGrid>
      <w:tr>
        <w:trPr/>
        <w:tc>
          <w:tcPr>
            <w:tcW w:w="89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$.01 par value</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MHK</w:t>
            </w:r>
          </w:p>
        </w:tc>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345" w:before="0" w:after="0"/>
        <w:jc w:val="left"/>
        <w:rPr/>
      </w:pPr>
      <w:r>
        <w:rPr>
          <w:rFonts w:ascii="Times New Roman;serif" w:hAnsi="Times New Roman;serif"/>
          <w:b w:val="false"/>
          <w:color w:val="000000"/>
          <w:sz w:val="20"/>
        </w:rPr>
        <w:t>Emerging growth company    </w:t>
      </w:r>
      <w:r>
        <w:rPr>
          <w:color w:val="000000"/>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2.02 Results of Operations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pursuant to Item 2.02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30, 2026, Mohawk Industries, Inc. (the "Company") issued a press release to report the Company’s earnings for the fiscal quarter ended July 4, 2026, which is attached to this report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pPr>
      <w:hyperlink w:anchor="a2026q2pressreleaseandtabl.htm">
        <w:r>
          <w:rPr>
            <w:rStyle w:val="InternetLink"/>
            <w:rFonts w:ascii="Times New Roman;serif" w:hAnsi="Times New Roman;serif"/>
            <w:b w:val="false"/>
            <w:color w:val="0000FF"/>
            <w:sz w:val="20"/>
            <w:u w:val="single"/>
          </w:rPr>
          <w:t>99.1 Press release dated July 30, 2026.</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(cover page XBRL tags are embedded within the iXBRL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36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45" w:before="0" w:after="0"/>
        <w:jc w:val="left"/>
        <w:rPr>
          <w:color w:val="000000"/>
        </w:rPr>
      </w:pPr>
      <w:r>
        <w:rPr>
          <w:color w:val="000000"/>
        </w:rPr>
        <w:t> </w:t>
      </w:r>
    </w:p>
    <w:tbl>
      <w:tblPr>
        <w:tblW w:w="7445"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7"/>
        <w:gridCol w:w="109"/>
        <w:gridCol w:w="109"/>
        <w:gridCol w:w="109"/>
        <w:gridCol w:w="134"/>
        <w:gridCol w:w="134"/>
        <w:gridCol w:w="136"/>
        <w:gridCol w:w="109"/>
        <w:gridCol w:w="109"/>
        <w:gridCol w:w="109"/>
        <w:gridCol w:w="1255"/>
        <w:gridCol w:w="1255"/>
        <w:gridCol w:w="17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Mohawk Industries,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 David L. Repp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DAVID L. REPP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Chief Accounting Officer and Corporate Controller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INDEX TO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578"/>
        <w:gridCol w:w="2577"/>
        <w:gridCol w:w="2553"/>
        <w:gridCol w:w="419"/>
        <w:gridCol w:w="419"/>
        <w:gridCol w:w="59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6"/>
            <w:tcBorders/>
            <w:tcMar>
              <w:top w:w="0" w:type="dxa"/>
              <w:left w:w="0" w:type="dxa"/>
              <w:bottom w:w="0" w:type="dxa"/>
              <w:right w:w="0" w:type="dxa"/>
            </w:tcMar>
            <w:vAlign w:val="center"/>
          </w:tcPr>
          <w:p>
            <w:pPr>
              <w:pStyle w:val="TableContents"/>
              <w:bidi w:val="0"/>
              <w:spacing w:lineRule="auto" w:line="240" w:before="0" w:after="20"/>
              <w:jc w:val="left"/>
              <w:rPr/>
            </w:pPr>
            <w:hyperlink w:anchor="a2026q2pressreleaseandtabl.htm">
              <w:r>
                <w:rPr>
                  <w:rStyle w:val="InternetLink"/>
                  <w:rFonts w:ascii="Times New Roman;serif" w:hAnsi="Times New Roman;serif"/>
                  <w:b w:val="false"/>
                  <w:color w:val="0000FF"/>
                  <w:sz w:val="20"/>
                  <w:u w:val="single"/>
                </w:rPr>
                <w:t>Press release dated July 30, 2026.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(cover page XBRL tags are embedded within the iXBRL document)</w:t>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3322" w:type="dxa"/>
        <w:jc w:val="right"/>
        <w:tblInd w:w="0" w:type="dxa"/>
        <w:tblLayout w:type="fixed"/>
        <w:tblCellMar>
          <w:top w:w="28" w:type="dxa"/>
          <w:left w:w="28" w:type="dxa"/>
          <w:bottom w:w="28" w:type="dxa"/>
          <w:right w:w="28" w:type="dxa"/>
        </w:tblCellMar>
      </w:tblPr>
      <w:tblGrid>
        <w:gridCol w:w="204"/>
        <w:gridCol w:w="179"/>
        <w:gridCol w:w="179"/>
        <w:gridCol w:w="179"/>
        <w:gridCol w:w="179"/>
        <w:gridCol w:w="179"/>
        <w:gridCol w:w="179"/>
        <w:gridCol w:w="179"/>
        <w:gridCol w:w="179"/>
        <w:gridCol w:w="179"/>
        <w:gridCol w:w="179"/>
        <w:gridCol w:w="179"/>
        <w:gridCol w:w="179"/>
        <w:gridCol w:w="179"/>
        <w:gridCol w:w="179"/>
        <w:gridCol w:w="179"/>
        <w:gridCol w:w="179"/>
        <w:gridCol w:w="254"/>
      </w:tblGrid>
      <w:tr>
        <w:trPr/>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322" w:type="dxa"/>
            <w:gridSpan w:val="18"/>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40"/>
              </w:rPr>
            </w:pPr>
            <w:r>
              <w:rPr>
                <w:rFonts w:ascii="Times New Roman;serif" w:hAnsi="Times New Roman;serif"/>
                <w:b/>
                <w:color w:val="000000"/>
                <w:sz w:val="40"/>
              </w:rPr>
              <w:t>NEWS RELEASE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Release:    Immediately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    Joe Ahlersmeyer, CFA, Vice-President - Finance &amp; Investor Relations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E-mail:    joe_ahlersmeyer@mohawkind.com              </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MOHAWK INDUSTRIES REPORTS Q2 2026 RESULTS</w:t>
      </w:r>
    </w:p>
    <w:p>
      <w:pPr>
        <w:pStyle w:val="TextBody"/>
        <w:bidi w:val="0"/>
        <w:spacing w:before="0" w:after="0"/>
        <w:jc w:val="center"/>
        <w:rPr/>
      </w:pPr>
      <w:r>
        <w:rPr/>
      </w:r>
    </w:p>
    <w:p>
      <w:pPr>
        <w:pStyle w:val="TextBody"/>
        <w:bidi w:val="0"/>
        <w:spacing w:lineRule="auto" w:line="468" w:before="0" w:after="0"/>
        <w:ind w:left="0" w:right="0" w:firstLine="720"/>
        <w:jc w:val="left"/>
        <w:rPr/>
      </w:pPr>
      <w:r>
        <w:rPr>
          <w:rFonts w:ascii="Times New Roman;serif" w:hAnsi="Times New Roman;serif"/>
          <w:b/>
          <w:color w:val="000000"/>
          <w:sz w:val="24"/>
        </w:rPr>
        <w:t>Calhoun, Georgia, July 30, 2026</w:t>
      </w:r>
      <w:r>
        <w:rPr>
          <w:color w:val="000000"/>
        </w:rPr>
        <w:t xml:space="preserve"> — </w:t>
      </w:r>
      <w:r>
        <w:rPr>
          <w:rFonts w:ascii="Times New Roman;serif" w:hAnsi="Times New Roman;serif"/>
          <w:b w:val="false"/>
          <w:color w:val="000000"/>
          <w:sz w:val="24"/>
        </w:rPr>
        <w:t xml:space="preserve">Mohawk Industries, Inc. (NYSE: MHK) today announced second quarter </w:t>
      </w:r>
      <w:r>
        <w:rPr>
          <w:rFonts w:ascii="Times New Roman;serif" w:hAnsi="Times New Roman;serif"/>
          <w:b w:val="false"/>
          <w:color w:val="000000"/>
          <w:sz w:val="24"/>
          <w:shd w:fill="FFFFFF" w:val="clear"/>
        </w:rPr>
        <w:t>2026 net earnings of $196 million and earnings per share (“EPS”) of $3.22; adjusted net earnings were $223 million, and adjusted EPS was $3.67. Net sales for the second quarter of 2026 were $3.0 billion, up 6.8% as reported and up 5.0% adjusted for constant days and exchange rates versus the prior year. During the second quarter of 2025, the Company reported net sales of $2.8 billion, net earnings of $147 million and earnings per share of $2.34; adjusted net earnings were $173 million, and adjusted EPS was $2.77.</w:t>
      </w:r>
    </w:p>
    <w:p>
      <w:pPr>
        <w:pStyle w:val="TextBody"/>
        <w:bidi w:val="0"/>
        <w:spacing w:lineRule="auto" w:line="468" w:before="0" w:after="0"/>
        <w:ind w:left="0" w:right="0" w:firstLine="720"/>
        <w:jc w:val="left"/>
        <w:rPr/>
      </w:pPr>
      <w:r>
        <w:rPr>
          <w:rFonts w:ascii="Times New Roman;serif" w:hAnsi="Times New Roman;serif"/>
          <w:b w:val="false"/>
          <w:color w:val="000000"/>
          <w:sz w:val="24"/>
          <w:shd w:fill="FFFFFF" w:val="clear"/>
        </w:rPr>
        <w:t>For the six months ended July 4, 2026, net earnings and EPS were $313 million and $5.11, respectively; adjusted net earnings were $341 million, and adjusted EPS was $5.56. Net sales for the first six months of 2026 were $5.7 billion, an increase of 7.4% as reported and up 1.4% on an adjusted</w:t>
      </w:r>
      <w:r>
        <w:rPr>
          <w:color w:val="000000"/>
        </w:rPr>
        <w:t xml:space="preserve"> </w:t>
      </w:r>
      <w:r>
        <w:rPr>
          <w:rFonts w:ascii="Times New Roman;serif" w:hAnsi="Times New Roman;serif"/>
          <w:b w:val="false"/>
          <w:color w:val="000000"/>
          <w:sz w:val="24"/>
        </w:rPr>
        <w:t>basis versus the prior year. For the six months ended June 28, 2025, the Company reported net sales of $5.3 billion, net earnings of $219 million and earnings per share of $3.49; adjusted net earnings were $269 million and adjusted EPS was $4.29.</w:t>
      </w:r>
    </w:p>
    <w:p>
      <w:pPr>
        <w:pStyle w:val="TextBody"/>
        <w:bidi w:val="0"/>
        <w:spacing w:lineRule="auto" w:line="48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Commenting on the Company’s second quarter performance, Chairman and CEO Jeff Lorberbaum stated, “Our results in the quarter significantly exceeded our expectations as we outperformed our markets. Our performance benefited from volume growth, pricing and product mix. Across our regions, our teams effectively executed our strategies and capitalized on opportunities with new and existing customers. We successfully introduced new collections, expanded product placements and improved our mix. In the period, volume benefited from initial stocking of new product placements and limited increases in inventory by some customers ahead of announced price increases. Our second-quarter reported EPS of $3.22 and adjusted EPS of $3.67 included a benefit of approximately $0.63 from tariff refunds, which were not included in our second quarter guidance. These refunds represent the reversal of costs that we have absorbed from higher tariffs. As part of our buyback program, we purchased over 600,000 shares during the quarter for approximately $60 million. </w:t>
      </w:r>
    </w:p>
    <w:p>
      <w:pPr>
        <w:pStyle w:val="TextBody"/>
        <w:bidi w:val="0"/>
        <w:spacing w:lineRule="auto" w:line="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Our second quarter forecast had reflected uncertainty related to the Middle East conflict, but market conditions proved more resilient than we anticipated. Residential channels remained soft during the quarter, and we believe we outpaced the market and gained share in most regions. The commercial sector continued to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0" w:before="0" w:after="0"/>
        <w:jc w:val="both"/>
        <w:rPr>
          <w:rFonts w:ascii="Times New Roman;serif" w:hAnsi="Times New Roman;serif"/>
          <w:b w:val="false"/>
          <w:color w:val="000000"/>
          <w:sz w:val="24"/>
        </w:rPr>
      </w:pPr>
      <w:r>
        <w:rPr>
          <w:rFonts w:ascii="Times New Roman;serif" w:hAnsi="Times New Roman;serif"/>
          <w:b w:val="false"/>
          <w:color w:val="000000"/>
          <w:sz w:val="24"/>
        </w:rPr>
        <w:t>outperform residential, and our differentiated offering enhanced our mix and margins. The new home construction market remains pressured, and existing home sales continue to be affected by affordability challenges. In this softer environment, we are proactively managing the controllable aspects of our business, including enhancing our sales strategies, pricing and operational improvements and managing our inventory levels and costs. Across many of our products and geographies, we executed pricing increases in response to higher labor, overhead, material, energy and transportation costs. In the second half of the year, these higher input costs will flow through inventory and impact our margins, and additional price increases may be required this year. We are bringing innovative products to market with differentiated features to strengthen our sales and mix. Across the business, our teams are delivering significant productivity gains, and our results are benefiting from our prior restructuring projects. In addition, we have initiated new projects focused on operational simplification, organizational realignment, warehouse consolidation and capacity optimization, all of which will reduce our costs approximately $60 million, with most completed by the end of 2027. These savings will require cash restructuring costs and capital expenditures of approximately $50 million.”</w:t>
      </w:r>
    </w:p>
    <w:p>
      <w:pPr>
        <w:pStyle w:val="TextBody"/>
        <w:bidi w:val="0"/>
        <w:spacing w:lineRule="auto" w:line="48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Reviewing second quarter results by segment, net sales in the Global Ceramic Segment increased by 7.9% as reported, or increased by 4.6% adjusted for constant days and exchange rates versus the prior year. The Segment’s operating margin was 7.8% as reported, or 8.2% on an adjusted basis due to productivity gains and improved price and mix offset by higher input costs versus the prior year.</w:t>
      </w:r>
    </w:p>
    <w:p>
      <w:pPr>
        <w:pStyle w:val="TextBody"/>
        <w:bidi w:val="0"/>
        <w:spacing w:lineRule="auto" w:line="48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Net sales in the Flooring North America Segment increased by 3.1% as reported and increased by 4.7% on an adjusted basis versus the prior year. The Segment’s operating margin was 10.0% as reported, or was 11.4% on an adjusted basis due to tariff benefit and productivity gains partially offset by higher input costs.</w:t>
      </w:r>
    </w:p>
    <w:p>
      <w:pPr>
        <w:pStyle w:val="TextBody"/>
        <w:bidi w:val="0"/>
        <w:spacing w:lineRule="auto" w:line="480" w:before="0" w:after="0"/>
        <w:ind w:left="0" w:right="0" w:firstLine="720"/>
        <w:jc w:val="both"/>
        <w:rPr/>
      </w:pPr>
      <w:r>
        <w:rPr>
          <w:rFonts w:ascii="Times New Roman;serif" w:hAnsi="Times New Roman;serif"/>
          <w:b w:val="false"/>
          <w:color w:val="000000"/>
          <w:sz w:val="24"/>
        </w:rPr>
        <w:t>Net sales in the Flooring Rest of the World Segment increased by 9.7% as reported, or increased by 6.2%</w:t>
      </w:r>
      <w:r>
        <w:rPr>
          <w:color w:val="000000"/>
        </w:rPr>
        <w:t xml:space="preserve"> </w:t>
      </w:r>
      <w:r>
        <w:rPr>
          <w:rFonts w:ascii="Times New Roman;serif" w:hAnsi="Times New Roman;serif"/>
          <w:b w:val="false"/>
          <w:color w:val="000000"/>
          <w:sz w:val="24"/>
        </w:rPr>
        <w:t xml:space="preserve">adjusted for constant days and exchange rates versus the prior year. The Segment’s operating margin was 9.8% as reported, or 12.0% on an adjusted basis due to pricing benefits compared to the prior year. </w:t>
      </w:r>
    </w:p>
    <w:p>
      <w:pPr>
        <w:pStyle w:val="TextBody"/>
        <w:bidi w:val="0"/>
        <w:spacing w:lineRule="auto" w:line="48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June 11, 2026, the Company announced a leadership transition with Paul De Cock, the Company’s President and Chief Operating Officer, appointed Chief Executive Officer to succeed Mr. Lorberbaum, effective September 30, 2026. Mr. Lorberbaum will retire as CEO at that time and remain Chairman of the Company’s Board of Directors.</w:t>
      </w:r>
    </w:p>
    <w:p>
      <w:pPr>
        <w:pStyle w:val="TextBody"/>
        <w:bidi w:val="0"/>
        <w:spacing w:lineRule="auto" w:line="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Commenting on Mohawk’s outlook, Mr. De Cock stated, “Looking ahead to the third quarter, we anticipate flooring market conditions will remain challenging. Across the world, the home resale market remains near multi-decade lows, and new home construction remains soft. We delivered strong second-quarter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0" w:before="0" w:after="0"/>
        <w:jc w:val="both"/>
        <w:rPr>
          <w:rFonts w:ascii="Times New Roman;serif" w:hAnsi="Times New Roman;serif"/>
          <w:b w:val="false"/>
          <w:color w:val="000000"/>
          <w:sz w:val="24"/>
        </w:rPr>
      </w:pPr>
      <w:r>
        <w:rPr>
          <w:rFonts w:ascii="Times New Roman;serif" w:hAnsi="Times New Roman;serif"/>
          <w:b w:val="false"/>
          <w:color w:val="000000"/>
          <w:sz w:val="24"/>
        </w:rPr>
        <w:t>results even though the market has not yet improved. We expect commercial to keep outperforming residential in the third quarter, while our higher-end offerings continue to enhance our mix. We expect our sales to seasonally drop from the second quarter, excluding the impact of currency exchange and shipping days. Given our stronger performance in the second quarter, this seasonal pattern could be more pronounced than in past years. We will have one additional shipping day in the third quarter compared with both the prior year and the second quarter of 2026. In the third quarter, we will see higher input costs and further benefits from our price increases, and we will continue our productivity efforts. We expect higher costs to persist into the fourth quarter, and we may need to take additional pricing actions. Given these factors, we expect our third quarter adjusted earnings per share, excluding any restructuring or other one-time charges, to be between $2.50 and $2.60, including approximately $0.12 from additional tariff refunds we have already received. Excluding tariff refunds and any restructuring or other one-time charges, our outlook contemplates a baseline EPS range of between $2.38 and $2.48.”</w:t>
      </w:r>
    </w:p>
    <w:p>
      <w:pPr>
        <w:pStyle w:val="TextBody"/>
        <w:bidi w:val="0"/>
        <w:spacing w:lineRule="auto" w:line="480"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ABOUT MOHAWK INDUSTRIES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 the past two decades, Mohawk Industries has transformed its business into the world’s largest flooring company with leading positions in North America, Europe, South America and Oceania. Mohawk’s vertically integrated manufacturing and distribution operations provide a competitive advantage in the production of ceramic tile, carpet and laminate, wood, vinyl and hybrid flooring products. Mohawk’s industry-leading innovation has yielded designs and performance enhancements that differentiate its collections in the marketplace and satisfy all residential and commercial remodeling and new construction requirements. The Company’s brands are among the most recognized and respected in the industry and include American Olean, Daltile, Durkan, Eliane, Elizabeth, Feltex, Godfrey Hirst, Karastan, Marazzi, Mohawk, Mohawk Group, Mohawk Home, Mohawk Performance Accessories, Pergo, Quick-Step, Unilin and Vitromex.</w:t>
      </w:r>
    </w:p>
    <w:p>
      <w:pPr>
        <w:pStyle w:val="TextBody"/>
        <w:bidi w:val="0"/>
        <w:spacing w:before="0" w:after="0"/>
        <w:ind w:left="0" w:right="0" w:firstLine="720"/>
        <w:jc w:val="both"/>
        <w:rPr/>
      </w:pPr>
      <w:r>
        <w:rPr/>
      </w:r>
    </w:p>
    <w:p>
      <w:pPr>
        <w:pStyle w:val="TextBody"/>
        <w:bidi w:val="0"/>
        <w:spacing w:lineRule="auto" w:line="300"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the statements in the immediately preceding paragraphs, particularly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claims the protection of the safe harbor for forward-looking statements contained in the Private Securities Litigation Reform Act of 1995.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There can be no assurance that the forward-looking statements will be accurate because they are based on many assumptions, which involve risks and uncertainties. Important factors that could cause future results to differ from historical experience and our present expectations or projections include, but are not limited to, the following: changes in economic or industry conditions; the impact of tariffs; competition; inflation and deflation in freight, raw material prices and other input costs; inflation and deflation in consumer markets; currency fluctuations; rising energy costs and changes in the level of supply thereof; timing and level of capital expenditures; timing and implementation of price increases for the Company’s products; impairment charges; identification and consummation of acquisitions on favorable terms, if at all; integration of acquisitions; international operations; introduction of new products; rationalization of operations; taxes and tax reform; product and other claims; litigation; geopolitical conflict; regulatory and political changes in the jurisdictions in which the Company does business; and other risks identified in Mohawk’s U.S. Securities and Exchange Commission reports and public announcements.</w:t>
      </w:r>
    </w:p>
    <w:p>
      <w:pPr>
        <w:pStyle w:val="TextBody"/>
        <w:bidi w:val="0"/>
        <w:spacing w:before="0" w:after="0"/>
        <w:jc w:val="both"/>
        <w:rPr/>
      </w:pPr>
      <w:r>
        <w:rPr/>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Conference call Friday, July 31, 2026, at 11:00 AM Eastern Time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both"/>
        <w:rPr/>
      </w:pPr>
      <w:r>
        <w:rPr>
          <w:rFonts w:ascii="Times New Roman;serif" w:hAnsi="Times New Roman;serif"/>
          <w:b w:val="false"/>
          <w:color w:val="000000"/>
          <w:sz w:val="22"/>
        </w:rPr>
        <w:t xml:space="preserve">To participate in the conference call via the Internet, please visit </w:t>
      </w:r>
      <w:r>
        <w:rPr>
          <w:rFonts w:ascii="Times New Roman;serif" w:hAnsi="Times New Roman;serif"/>
          <w:b/>
          <w:color w:val="000000"/>
          <w:sz w:val="22"/>
        </w:rPr>
        <w:t>https://ir.mohawkind.com/events/event-details/mohawk-industries-inc-2nd-quarter-2026-earnings-call</w:t>
      </w:r>
      <w:r>
        <w:rPr>
          <w:rFonts w:ascii="Times New Roman;serif" w:hAnsi="Times New Roman;serif"/>
          <w:b w:val="false"/>
          <w:color w:val="000000"/>
          <w:sz w:val="22"/>
        </w:rPr>
        <w:t>. To participate in the conference call via telephone, register in advance at</w:t>
      </w:r>
      <w:r>
        <w:rPr>
          <w:color w:val="000000"/>
        </w:rPr>
        <w:t xml:space="preserve"> </w:t>
      </w:r>
      <w:r>
        <w:rPr>
          <w:rFonts w:ascii="Times New Roman;serif" w:hAnsi="Times New Roman;serif"/>
          <w:b/>
          <w:color w:val="000000"/>
          <w:sz w:val="22"/>
        </w:rPr>
        <w:t xml:space="preserve">https://dpregister.com/sreg/10209987/10448bdd21c </w:t>
      </w:r>
      <w:r>
        <w:rPr>
          <w:rFonts w:ascii="Times New Roman;serif" w:hAnsi="Times New Roman;serif"/>
          <w:b w:val="false"/>
          <w:color w:val="000000"/>
          <w:sz w:val="22"/>
        </w:rPr>
        <w:t>to receive a unique personal identification number. You may also dial 1-833-630-1962 (U.S./Canada) or 1-412-317-1843 (international) on the day of the call for operator assistance. For those unable to listen at the designated time, the call will remain available for replay through August 28, 2026, by dialing 1-855-669-9658 (U.S./Canada) or 1-412-317-0088 (international) and entering Conference ID # 9372095. The call will be archived and available for replay for one year under the “Investors” tab of mohawkind.com.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24"/>
        <w:gridCol w:w="984"/>
        <w:gridCol w:w="988"/>
        <w:gridCol w:w="139"/>
        <w:gridCol w:w="139"/>
        <w:gridCol w:w="139"/>
        <w:gridCol w:w="271"/>
        <w:gridCol w:w="1005"/>
        <w:gridCol w:w="139"/>
        <w:gridCol w:w="139"/>
        <w:gridCol w:w="139"/>
        <w:gridCol w:w="139"/>
        <w:gridCol w:w="424"/>
        <w:gridCol w:w="353"/>
        <w:gridCol w:w="231"/>
        <w:gridCol w:w="139"/>
        <w:gridCol w:w="139"/>
        <w:gridCol w:w="139"/>
        <w:gridCol w:w="450"/>
        <w:gridCol w:w="332"/>
        <w:gridCol w:w="217"/>
        <w:gridCol w:w="142"/>
        <w:gridCol w:w="142"/>
        <w:gridCol w:w="142"/>
        <w:gridCol w:w="441"/>
        <w:gridCol w:w="344"/>
        <w:gridCol w:w="231"/>
        <w:gridCol w:w="109"/>
        <w:gridCol w:w="109"/>
        <w:gridCol w:w="109"/>
        <w:gridCol w:w="167"/>
      </w:tblGrid>
      <w:tr>
        <w:trPr/>
        <w:tc>
          <w:tcPr>
            <w:tcW w:w="162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71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MOHAWK INDUSTRIES, INC. AND SUBSIDIARIES</w:t>
            </w:r>
          </w:p>
        </w:tc>
        <w:tc>
          <w:tcPr>
            <w:tcW w:w="494" w:type="dxa"/>
            <w:gridSpan w:val="4"/>
            <w:tcBorders/>
          </w:tcPr>
          <w:p>
            <w:pPr>
              <w:pStyle w:val="TableContents"/>
              <w:bidi w:val="0"/>
              <w:spacing w:before="0" w:after="283"/>
              <w:jc w:val="left"/>
              <w:rPr>
                <w:sz w:val="4"/>
                <w:szCs w:val="4"/>
              </w:rPr>
            </w:pPr>
            <w:r>
              <w:rPr>
                <w:sz w:val="4"/>
                <w:szCs w:val="4"/>
              </w:rPr>
            </w:r>
          </w:p>
        </w:tc>
      </w:tr>
      <w:tr>
        <w:trPr/>
        <w:tc>
          <w:tcPr>
            <w:tcW w:w="971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c>
          <w:tcPr>
            <w:tcW w:w="494" w:type="dxa"/>
            <w:gridSpan w:val="4"/>
            <w:tcBorders/>
          </w:tcPr>
          <w:p>
            <w:pPr>
              <w:pStyle w:val="TableContents"/>
              <w:bidi w:val="0"/>
              <w:spacing w:before="0" w:after="283"/>
              <w:jc w:val="left"/>
              <w:rPr>
                <w:sz w:val="4"/>
                <w:szCs w:val="4"/>
              </w:rPr>
            </w:pPr>
            <w:r>
              <w:rPr>
                <w:sz w:val="4"/>
                <w:szCs w:val="4"/>
              </w:rPr>
            </w:r>
          </w:p>
        </w:tc>
      </w:tr>
      <w:tr>
        <w:trPr/>
        <w:tc>
          <w:tcPr>
            <w:tcW w:w="971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494" w:type="dxa"/>
            <w:gridSpan w:val="4"/>
            <w:tcBorders/>
          </w:tcPr>
          <w:p>
            <w:pPr>
              <w:pStyle w:val="TableContents"/>
              <w:bidi w:val="0"/>
              <w:spacing w:before="0" w:after="283"/>
              <w:jc w:val="left"/>
              <w:rPr>
                <w:sz w:val="4"/>
                <w:szCs w:val="4"/>
              </w:rPr>
            </w:pPr>
            <w:r>
              <w:rPr>
                <w:sz w:val="4"/>
                <w:szCs w:val="4"/>
              </w:rPr>
            </w:r>
          </w:p>
        </w:tc>
      </w:tr>
      <w:tr>
        <w:trPr/>
        <w:tc>
          <w:tcPr>
            <w:tcW w:w="3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3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2,991.4</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5,720.1</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2,196.3</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4,283.1</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4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795.1</w:t>
            </w:r>
            <w:r>
              <w:rPr>
                <w:color w:val="000000"/>
              </w:rPr>
              <w:t> </w:t>
            </w:r>
          </w:p>
        </w:tc>
        <w:tc>
          <w:tcPr>
            <w:tcW w:w="13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1,437.0</w:t>
            </w:r>
            <w:r>
              <w:rPr>
                <w:color w:val="000000"/>
              </w:rPr>
              <w:t> </w:t>
            </w:r>
          </w:p>
        </w:tc>
        <w:tc>
          <w:tcPr>
            <w:tcW w:w="2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1,297.7 </w:t>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541.4</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1,071.5</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4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253.7</w:t>
            </w:r>
            <w:r>
              <w:rPr>
                <w:color w:val="000000"/>
              </w:rPr>
              <w:t> </w:t>
            </w:r>
          </w:p>
        </w:tc>
        <w:tc>
          <w:tcPr>
            <w:tcW w:w="13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365.5</w:t>
            </w:r>
            <w:r>
              <w:rPr>
                <w:color w:val="000000"/>
              </w:rPr>
              <w:t> </w:t>
            </w:r>
          </w:p>
        </w:tc>
        <w:tc>
          <w:tcPr>
            <w:tcW w:w="2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 net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248.5</w:t>
            </w:r>
            <w:r>
              <w:rPr>
                <w:color w:val="000000"/>
              </w:rPr>
              <w:t> </w:t>
            </w:r>
          </w:p>
        </w:tc>
        <w:tc>
          <w:tcPr>
            <w:tcW w:w="13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356.7</w:t>
            </w:r>
            <w:r>
              <w:rPr>
                <w:color w:val="000000"/>
              </w:rPr>
              <w:t> </w:t>
            </w:r>
          </w:p>
        </w:tc>
        <w:tc>
          <w:tcPr>
            <w:tcW w:w="2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including noncontrolling interests</w:t>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196.2</w:t>
            </w:r>
            <w:r>
              <w:rPr>
                <w:color w:val="000000"/>
              </w:rPr>
              <w:t> </w:t>
            </w:r>
          </w:p>
        </w:tc>
        <w:tc>
          <w:tcPr>
            <w:tcW w:w="13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146.5</w:t>
            </w:r>
            <w:r>
              <w:rPr>
                <w:color w:val="000000"/>
              </w:rPr>
              <w:t>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313.3</w:t>
            </w:r>
            <w:r>
              <w:rPr>
                <w:color w:val="000000"/>
              </w:rPr>
              <w:t> </w:t>
            </w:r>
          </w:p>
        </w:tc>
        <w:tc>
          <w:tcPr>
            <w:tcW w:w="2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earnings attributable to noncontrolling interests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attributable to Mohawk Industries, Inc.</w:t>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196.1</w:t>
            </w:r>
            <w:r>
              <w:rPr>
                <w:color w:val="000000"/>
              </w:rPr>
              <w:t> </w:t>
            </w:r>
          </w:p>
        </w:tc>
        <w:tc>
          <w:tcPr>
            <w:tcW w:w="13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146.5</w:t>
            </w:r>
            <w:r>
              <w:rPr>
                <w:color w:val="000000"/>
              </w:rPr>
              <w:t>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313.2</w:t>
            </w:r>
            <w:r>
              <w:rPr>
                <w:color w:val="000000"/>
              </w:rPr>
              <w:t> </w:t>
            </w:r>
          </w:p>
        </w:tc>
        <w:tc>
          <w:tcPr>
            <w:tcW w:w="2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 attributable to Mohawk Industries, Inc.</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 - basic</w:t>
            </w:r>
          </w:p>
        </w:tc>
        <w:tc>
          <w:tcPr>
            <w:tcW w:w="4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w:t>
            </w:r>
            <w:r>
              <w:rPr>
                <w:color w:val="000000"/>
              </w:rPr>
              <w:t> </w:t>
            </w:r>
          </w:p>
        </w:tc>
        <w:tc>
          <w:tcPr>
            <w:tcW w:w="13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w:t>
            </w:r>
            <w:r>
              <w:rPr>
                <w:color w:val="000000"/>
              </w:rPr>
              <w:t> </w:t>
            </w:r>
          </w:p>
        </w:tc>
        <w:tc>
          <w:tcPr>
            <w:tcW w:w="21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 attributable to Mohawk Industries, Inc.</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 - diluted</w:t>
            </w:r>
          </w:p>
        </w:tc>
        <w:tc>
          <w:tcPr>
            <w:tcW w:w="41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w:t>
            </w:r>
            <w:r>
              <w:rPr>
                <w:color w:val="000000"/>
              </w:rPr>
              <w:t> </w:t>
            </w:r>
          </w:p>
        </w:tc>
        <w:tc>
          <w:tcPr>
            <w:tcW w:w="13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3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w:t>
            </w:r>
            <w:r>
              <w:rPr>
                <w:color w:val="000000"/>
              </w:rPr>
              <w:t> </w:t>
            </w:r>
          </w:p>
        </w:tc>
        <w:tc>
          <w:tcPr>
            <w:tcW w:w="217"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3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tbl>
      <w:tblPr>
        <w:tblW w:w="9576" w:type="dxa"/>
        <w:jc w:val="center"/>
        <w:tblInd w:w="0" w:type="dxa"/>
        <w:tblLayout w:type="fixed"/>
        <w:tblCellMar>
          <w:top w:w="28" w:type="dxa"/>
          <w:left w:w="28" w:type="dxa"/>
          <w:bottom w:w="28" w:type="dxa"/>
          <w:right w:w="28" w:type="dxa"/>
        </w:tblCellMar>
      </w:tblPr>
      <w:tblGrid>
        <w:gridCol w:w="1255"/>
        <w:gridCol w:w="1103"/>
        <w:gridCol w:w="1106"/>
        <w:gridCol w:w="109"/>
        <w:gridCol w:w="109"/>
        <w:gridCol w:w="109"/>
        <w:gridCol w:w="223"/>
        <w:gridCol w:w="667"/>
        <w:gridCol w:w="115"/>
        <w:gridCol w:w="109"/>
        <w:gridCol w:w="109"/>
        <w:gridCol w:w="109"/>
        <w:gridCol w:w="364"/>
        <w:gridCol w:w="364"/>
        <w:gridCol w:w="367"/>
        <w:gridCol w:w="109"/>
        <w:gridCol w:w="109"/>
        <w:gridCol w:w="109"/>
        <w:gridCol w:w="335"/>
        <w:gridCol w:w="335"/>
        <w:gridCol w:w="335"/>
        <w:gridCol w:w="150"/>
        <w:gridCol w:w="150"/>
        <w:gridCol w:w="150"/>
        <w:gridCol w:w="365"/>
        <w:gridCol w:w="365"/>
        <w:gridCol w:w="365"/>
        <w:gridCol w:w="109"/>
        <w:gridCol w:w="109"/>
        <w:gridCol w:w="109"/>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36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426.6</w:t>
            </w:r>
            <w:r>
              <w:rPr>
                <w:color w:val="000000"/>
              </w:rPr>
              <w:t> </w:t>
            </w:r>
          </w:p>
        </w:tc>
        <w:tc>
          <w:tcPr>
            <w:tcW w:w="3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228.2</w:t>
            </w:r>
            <w:r>
              <w:rPr>
                <w:color w:val="000000"/>
              </w:rPr>
              <w:t>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36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236.0</w:t>
            </w:r>
            <w:r>
              <w:rPr>
                <w:color w:val="000000"/>
              </w:rPr>
              <w:t> </w:t>
            </w:r>
          </w:p>
        </w:tc>
        <w:tc>
          <w:tcPr>
            <w:tcW w:w="3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159.3</w:t>
            </w:r>
            <w:r>
              <w:rPr>
                <w:color w:val="000000"/>
              </w:rPr>
              <w:t> </w:t>
            </w:r>
          </w:p>
        </w:tc>
        <w:tc>
          <w:tcPr>
            <w:tcW w:w="115"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367"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341.1</w:t>
            </w:r>
            <w:r>
              <w:rPr>
                <w:color w:val="000000"/>
              </w:rPr>
              <w:t> </w:t>
            </w:r>
          </w:p>
        </w:tc>
        <w:tc>
          <w:tcPr>
            <w:tcW w:w="335"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365"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880" w:type="dxa"/>
        <w:jc w:val="center"/>
        <w:tblInd w:w="0" w:type="dxa"/>
        <w:tblLayout w:type="fixed"/>
        <w:tblCellMar>
          <w:top w:w="28" w:type="dxa"/>
          <w:left w:w="28" w:type="dxa"/>
          <w:bottom w:w="28" w:type="dxa"/>
          <w:right w:w="28" w:type="dxa"/>
        </w:tblCellMar>
      </w:tblPr>
      <w:tblGrid>
        <w:gridCol w:w="1615"/>
        <w:gridCol w:w="1412"/>
        <w:gridCol w:w="1412"/>
        <w:gridCol w:w="259"/>
        <w:gridCol w:w="503"/>
        <w:gridCol w:w="2113"/>
        <w:gridCol w:w="259"/>
        <w:gridCol w:w="259"/>
        <w:gridCol w:w="259"/>
        <w:gridCol w:w="259"/>
        <w:gridCol w:w="447"/>
        <w:gridCol w:w="447"/>
        <w:gridCol w:w="636"/>
      </w:tblGrid>
      <w:tr>
        <w:trPr/>
        <w:tc>
          <w:tcPr>
            <w:tcW w:w="161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8350"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MOHAWK INDUSTRIES, INC. AND SUBSIDIARIES</w:t>
            </w:r>
          </w:p>
        </w:tc>
        <w:tc>
          <w:tcPr>
            <w:tcW w:w="1530" w:type="dxa"/>
            <w:gridSpan w:val="3"/>
            <w:tcBorders/>
          </w:tcPr>
          <w:p>
            <w:pPr>
              <w:pStyle w:val="TableContents"/>
              <w:bidi w:val="0"/>
              <w:spacing w:before="0" w:after="283"/>
              <w:jc w:val="left"/>
              <w:rPr>
                <w:sz w:val="4"/>
                <w:szCs w:val="4"/>
              </w:rPr>
            </w:pPr>
            <w:r>
              <w:rPr>
                <w:sz w:val="4"/>
                <w:szCs w:val="4"/>
              </w:rPr>
            </w:r>
          </w:p>
        </w:tc>
      </w:tr>
      <w:tr>
        <w:trPr/>
        <w:tc>
          <w:tcPr>
            <w:tcW w:w="8350"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c>
          <w:tcPr>
            <w:tcW w:w="1530" w:type="dxa"/>
            <w:gridSpan w:val="3"/>
            <w:tcBorders/>
          </w:tcPr>
          <w:p>
            <w:pPr>
              <w:pStyle w:val="TableContents"/>
              <w:bidi w:val="0"/>
              <w:spacing w:before="0" w:after="283"/>
              <w:jc w:val="left"/>
              <w:rPr>
                <w:sz w:val="4"/>
                <w:szCs w:val="4"/>
              </w:rPr>
            </w:pPr>
            <w:r>
              <w:rPr>
                <w:sz w:val="4"/>
                <w:szCs w:val="4"/>
              </w:rPr>
            </w:r>
          </w:p>
        </w:tc>
      </w:tr>
      <w:tr>
        <w:trPr/>
        <w:tc>
          <w:tcPr>
            <w:tcW w:w="8350"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530" w:type="dxa"/>
            <w:gridSpan w:val="3"/>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59" w:type="dxa"/>
            <w:tcBorders/>
            <w:vAlign w:val="center"/>
          </w:tcPr>
          <w:p>
            <w:pPr>
              <w:pStyle w:val="TableContents"/>
              <w:bidi w:val="0"/>
              <w:spacing w:before="0" w:after="283"/>
              <w:jc w:val="left"/>
              <w:rPr>
                <w:sz w:val="4"/>
                <w:szCs w:val="4"/>
              </w:rPr>
            </w:pPr>
            <w:r>
              <w:rPr>
                <w:sz w:val="4"/>
                <w:szCs w:val="4"/>
              </w:rPr>
            </w:r>
          </w:p>
        </w:tc>
        <w:tc>
          <w:tcPr>
            <w:tcW w:w="2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443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59" w:type="dxa"/>
            <w:tcBorders/>
            <w:vAlign w:val="center"/>
          </w:tcPr>
          <w:p>
            <w:pPr>
              <w:pStyle w:val="TableContents"/>
              <w:bidi w:val="0"/>
              <w:spacing w:before="0" w:after="283"/>
              <w:jc w:val="left"/>
              <w:rPr>
                <w:sz w:val="4"/>
                <w:szCs w:val="4"/>
              </w:rPr>
            </w:pPr>
            <w:r>
              <w:rPr>
                <w:sz w:val="4"/>
                <w:szCs w:val="4"/>
              </w:rPr>
            </w:r>
          </w:p>
        </w:tc>
        <w:tc>
          <w:tcPr>
            <w:tcW w:w="28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259" w:type="dxa"/>
            <w:tcBorders/>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259" w:type="dxa"/>
            <w:tcBorders/>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849.6</w:t>
            </w: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Receivables, net</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2,284.3</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2,585.6</w:t>
            </w: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554.4</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6,273.9</w:t>
            </w:r>
            <w:r>
              <w:rPr>
                <w:color w:val="000000"/>
              </w:rPr>
              <w:t> </w:t>
            </w:r>
          </w:p>
        </w:tc>
        <w:tc>
          <w:tcPr>
            <w:tcW w:w="2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5,967.1 </w:t>
            </w:r>
          </w:p>
        </w:tc>
        <w:tc>
          <w:tcPr>
            <w:tcW w:w="6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4,603.6</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4,772.0 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operating lease assets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425.3</w:t>
            </w: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1,191.1</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792.4</w:t>
            </w: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non-current assets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536.9</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9" w:type="dxa"/>
            <w:tcBorders/>
            <w:vAlign w:val="center"/>
          </w:tcPr>
          <w:p>
            <w:pPr>
              <w:pStyle w:val="TableContents"/>
              <w:bidi w:val="0"/>
              <w:spacing w:before="0" w:after="283"/>
              <w:jc w:val="left"/>
              <w:rPr>
                <w:sz w:val="4"/>
                <w:szCs w:val="4"/>
              </w:rPr>
            </w:pPr>
            <w:r>
              <w:rPr>
                <w:sz w:val="4"/>
                <w:szCs w:val="4"/>
              </w:rPr>
            </w:r>
          </w:p>
        </w:tc>
        <w:tc>
          <w:tcPr>
            <w:tcW w:w="5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13,823.2</w:t>
            </w:r>
            <w:r>
              <w:rPr>
                <w:color w:val="000000"/>
              </w:rPr>
              <w:t> </w:t>
            </w:r>
          </w:p>
        </w:tc>
        <w:tc>
          <w:tcPr>
            <w:tcW w:w="2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13,687.3 </w:t>
            </w:r>
          </w:p>
        </w:tc>
        <w:tc>
          <w:tcPr>
            <w:tcW w:w="6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259" w:type="dxa"/>
            <w:tcBorders/>
            <w:vAlign w:val="center"/>
          </w:tcPr>
          <w:p>
            <w:pPr>
              <w:pStyle w:val="TableContents"/>
              <w:bidi w:val="0"/>
              <w:spacing w:before="0" w:after="283"/>
              <w:jc w:val="left"/>
              <w:rPr>
                <w:sz w:val="4"/>
                <w:szCs w:val="4"/>
              </w:rPr>
            </w:pPr>
            <w:r>
              <w:rPr>
                <w:sz w:val="4"/>
                <w:szCs w:val="4"/>
              </w:rPr>
            </w:r>
          </w:p>
        </w:tc>
        <w:tc>
          <w:tcPr>
            <w:tcW w:w="287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259" w:type="dxa"/>
            <w:tcBorders/>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and current portion of long-term debt</w:t>
            </w:r>
          </w:p>
        </w:tc>
        <w:tc>
          <w:tcPr>
            <w:tcW w:w="259" w:type="dxa"/>
            <w:tcBorders/>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761.4</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2,393.9</w:t>
            </w: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2,310.4 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120.0</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3,275.3</w:t>
            </w:r>
            <w:r>
              <w:rPr>
                <w:color w:val="000000"/>
              </w:rPr>
              <w:t> </w:t>
            </w:r>
          </w:p>
        </w:tc>
        <w:tc>
          <w:tcPr>
            <w:tcW w:w="2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2,722.1 </w:t>
            </w:r>
          </w:p>
        </w:tc>
        <w:tc>
          <w:tcPr>
            <w:tcW w:w="6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1,155.1</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322.2</w:t>
            </w: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long-term liabilities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525.9</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5,278.5</w:t>
            </w:r>
            <w:r>
              <w:rPr>
                <w:color w:val="000000"/>
              </w:rPr>
              <w:t> </w:t>
            </w:r>
          </w:p>
        </w:tc>
        <w:tc>
          <w:tcPr>
            <w:tcW w:w="2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5,308.6 </w:t>
            </w:r>
          </w:p>
        </w:tc>
        <w:tc>
          <w:tcPr>
            <w:tcW w:w="6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59" w:type="dxa"/>
            <w:tcBorders/>
            <w:vAlign w:val="center"/>
          </w:tcPr>
          <w:p>
            <w:pPr>
              <w:pStyle w:val="TableContents"/>
              <w:bidi w:val="0"/>
              <w:spacing w:before="0" w:after="283"/>
              <w:jc w:val="left"/>
              <w:rPr>
                <w:sz w:val="4"/>
                <w:szCs w:val="4"/>
              </w:rPr>
            </w:pPr>
            <w:r>
              <w:rPr>
                <w:sz w:val="4"/>
                <w:szCs w:val="4"/>
              </w:rPr>
            </w:r>
          </w:p>
        </w:tc>
        <w:tc>
          <w:tcPr>
            <w:tcW w:w="26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8,544.7</w:t>
            </w:r>
            <w:r>
              <w:rPr>
                <w:color w:val="000000"/>
              </w:rPr>
              <w:t> </w:t>
            </w:r>
          </w:p>
        </w:tc>
        <w:tc>
          <w:tcPr>
            <w:tcW w:w="25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8,378.7 </w:t>
            </w:r>
          </w:p>
        </w:tc>
        <w:tc>
          <w:tcPr>
            <w:tcW w:w="6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59" w:type="dxa"/>
            <w:tcBorders/>
            <w:vAlign w:val="center"/>
          </w:tcPr>
          <w:p>
            <w:pPr>
              <w:pStyle w:val="TableContents"/>
              <w:bidi w:val="0"/>
              <w:spacing w:before="0" w:after="283"/>
              <w:jc w:val="left"/>
              <w:rPr>
                <w:sz w:val="4"/>
                <w:szCs w:val="4"/>
              </w:rPr>
            </w:pPr>
            <w:r>
              <w:rPr>
                <w:sz w:val="4"/>
                <w:szCs w:val="4"/>
              </w:rPr>
            </w:r>
          </w:p>
        </w:tc>
        <w:tc>
          <w:tcPr>
            <w:tcW w:w="503"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3"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13,823.2</w:t>
            </w:r>
            <w:r>
              <w:rPr>
                <w:color w:val="000000"/>
              </w:rPr>
              <w:t> </w:t>
            </w:r>
          </w:p>
        </w:tc>
        <w:tc>
          <w:tcPr>
            <w:tcW w:w="259"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13,687.3 </w:t>
            </w:r>
          </w:p>
        </w:tc>
        <w:tc>
          <w:tcPr>
            <w:tcW w:w="636"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49" w:type="dxa"/>
        <w:jc w:val="left"/>
        <w:tblInd w:w="0" w:type="dxa"/>
        <w:tblLayout w:type="fixed"/>
        <w:tblCellMar>
          <w:top w:w="28" w:type="dxa"/>
          <w:left w:w="28" w:type="dxa"/>
          <w:bottom w:w="28" w:type="dxa"/>
          <w:right w:w="28" w:type="dxa"/>
        </w:tblCellMar>
      </w:tblPr>
      <w:tblGrid>
        <w:gridCol w:w="1246"/>
        <w:gridCol w:w="1093"/>
        <w:gridCol w:w="1096"/>
        <w:gridCol w:w="109"/>
        <w:gridCol w:w="109"/>
        <w:gridCol w:w="109"/>
        <w:gridCol w:w="211"/>
        <w:gridCol w:w="781"/>
        <w:gridCol w:w="109"/>
        <w:gridCol w:w="109"/>
        <w:gridCol w:w="109"/>
        <w:gridCol w:w="109"/>
        <w:gridCol w:w="383"/>
        <w:gridCol w:w="383"/>
        <w:gridCol w:w="367"/>
        <w:gridCol w:w="109"/>
        <w:gridCol w:w="109"/>
        <w:gridCol w:w="109"/>
        <w:gridCol w:w="211"/>
        <w:gridCol w:w="886"/>
        <w:gridCol w:w="109"/>
        <w:gridCol w:w="109"/>
        <w:gridCol w:w="109"/>
        <w:gridCol w:w="109"/>
        <w:gridCol w:w="502"/>
        <w:gridCol w:w="502"/>
        <w:gridCol w:w="481"/>
        <w:gridCol w:w="109"/>
        <w:gridCol w:w="109"/>
        <w:gridCol w:w="109"/>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Segment Information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Ceramic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2,991.4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36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5,720.1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5,327.9 </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Ceramic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intersegment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36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Ceramic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intersegment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assets</w:t>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13,823.2</w:t>
            </w:r>
            <w:r>
              <w:rPr>
                <w:color w:val="000000"/>
              </w:rPr>
              <w:t> </w:t>
            </w:r>
          </w:p>
        </w:tc>
        <w:tc>
          <w:tcPr>
            <w:tcW w:w="109"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13,687.3 </w:t>
            </w:r>
          </w:p>
        </w:tc>
        <w:tc>
          <w:tcPr>
            <w:tcW w:w="481"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99"/>
        <w:gridCol w:w="514"/>
        <w:gridCol w:w="514"/>
        <w:gridCol w:w="206"/>
        <w:gridCol w:w="206"/>
        <w:gridCol w:w="206"/>
        <w:gridCol w:w="400"/>
        <w:gridCol w:w="1197"/>
        <w:gridCol w:w="206"/>
        <w:gridCol w:w="206"/>
        <w:gridCol w:w="206"/>
        <w:gridCol w:w="206"/>
        <w:gridCol w:w="518"/>
        <w:gridCol w:w="206"/>
        <w:gridCol w:w="206"/>
        <w:gridCol w:w="206"/>
        <w:gridCol w:w="206"/>
        <w:gridCol w:w="206"/>
        <w:gridCol w:w="530"/>
        <w:gridCol w:w="206"/>
        <w:gridCol w:w="206"/>
        <w:gridCol w:w="206"/>
        <w:gridCol w:w="206"/>
        <w:gridCol w:w="206"/>
        <w:gridCol w:w="518"/>
        <w:gridCol w:w="206"/>
        <w:gridCol w:w="206"/>
        <w:gridCol w:w="109"/>
        <w:gridCol w:w="109"/>
        <w:gridCol w:w="109"/>
        <w:gridCol w:w="174"/>
      </w:tblGrid>
      <w:tr>
        <w:trPr/>
        <w:tc>
          <w:tcPr>
            <w:tcW w:w="159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704"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Earnings Attributable to Mohawk Industries, Inc. to Adjusted Net Earnings Attributable to Mohawk Industries, Inc. and Adjusted Diluted Earnings Per Share Attributable to Mohawk Industries, Inc.</w:t>
            </w:r>
          </w:p>
        </w:tc>
        <w:tc>
          <w:tcPr>
            <w:tcW w:w="501" w:type="dxa"/>
            <w:gridSpan w:val="4"/>
            <w:tcBorders/>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Mohawk Industries, Inc.</w:t>
            </w:r>
          </w:p>
        </w:tc>
        <w:tc>
          <w:tcPr>
            <w:tcW w:w="6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196.1</w:t>
            </w:r>
            <w:r>
              <w:rPr>
                <w:color w:val="000000"/>
              </w:rPr>
              <w:t>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313.2</w:t>
            </w:r>
            <w:r>
              <w:rPr>
                <w:color w:val="000000"/>
              </w:rPr>
              <w:t>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Adjusting items:</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76.6</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implementation cost write-off</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sale</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reserves and fees</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of indemnification asset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 adjustments of uncertain tax position</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tax related items</w:t>
            </w:r>
            <w:r>
              <w:rPr>
                <w:rFonts w:ascii="Times New Roman;serif" w:hAnsi="Times New Roman;serif"/>
                <w:b w:val="false"/>
                <w:color w:val="000000"/>
                <w:sz w:val="13"/>
              </w:rPr>
              <w:t>(1)</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adjustments</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attributable to Mohawk Industries, Inc.</w:t>
            </w:r>
          </w:p>
        </w:tc>
        <w:tc>
          <w:tcPr>
            <w:tcW w:w="6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223.3</w:t>
            </w:r>
            <w:r>
              <w:rPr>
                <w:color w:val="000000"/>
              </w:rPr>
              <w:t>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340.6</w:t>
            </w:r>
            <w:r>
              <w:rPr>
                <w:color w:val="000000"/>
              </w:rPr>
              <w:t>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diluted earnings per share attributable to Mohawk Industries, Inc. </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5.56</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61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w:t>
            </w:r>
            <w:r>
              <w:rPr>
                <w:color w:val="000000"/>
              </w:rPr>
              <w:t> </w:t>
            </w:r>
          </w:p>
        </w:tc>
        <w:tc>
          <w:tcPr>
            <w:tcW w:w="20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0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w:t>
            </w:r>
            <w:r>
              <w:rPr>
                <w:color w:val="000000"/>
              </w:rPr>
              <w:t> </w:t>
            </w:r>
          </w:p>
        </w:tc>
        <w:tc>
          <w:tcPr>
            <w:tcW w:w="20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0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(1) A one-time U.S. tax benefit associated with a legal entity restructuring initiative and tax credits issued by the Brazilian government related to prior years.</w:t>
      </w:r>
    </w:p>
    <w:p>
      <w:pPr>
        <w:pStyle w:val="TextBody"/>
        <w:bidi w:val="0"/>
        <w:spacing w:before="0" w:after="0"/>
        <w:jc w:val="left"/>
        <w:rPr/>
      </w:pPr>
      <w:r>
        <w:rPr/>
      </w:r>
    </w:p>
    <w:tbl>
      <w:tblPr>
        <w:tblW w:w="5586" w:type="dxa"/>
        <w:jc w:val="center"/>
        <w:tblInd w:w="0" w:type="dxa"/>
        <w:tblLayout w:type="fixed"/>
        <w:tblCellMar>
          <w:top w:w="28" w:type="dxa"/>
          <w:left w:w="28" w:type="dxa"/>
          <w:bottom w:w="28" w:type="dxa"/>
          <w:right w:w="28" w:type="dxa"/>
        </w:tblCellMar>
      </w:tblPr>
      <w:tblGrid>
        <w:gridCol w:w="1607"/>
        <w:gridCol w:w="1413"/>
        <w:gridCol w:w="1420"/>
        <w:gridCol w:w="211"/>
        <w:gridCol w:w="781"/>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Total Debt to Net Debt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r>
      <w:tr>
        <w:trPr/>
        <w:tc>
          <w:tcPr>
            <w:tcW w:w="44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and current portion of long-term 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761.4</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1,916.5</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11"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1,066.9</w:t>
            </w:r>
            <w:r>
              <w:rPr>
                <w:color w:val="000000"/>
              </w:rPr>
              <w:t> </w:t>
            </w:r>
          </w:p>
        </w:tc>
        <w:tc>
          <w:tcPr>
            <w:tcW w:w="154"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68"/>
        <w:gridCol w:w="551"/>
        <w:gridCol w:w="551"/>
        <w:gridCol w:w="551"/>
        <w:gridCol w:w="551"/>
        <w:gridCol w:w="553"/>
        <w:gridCol w:w="315"/>
        <w:gridCol w:w="922"/>
        <w:gridCol w:w="163"/>
        <w:gridCol w:w="163"/>
        <w:gridCol w:w="163"/>
        <w:gridCol w:w="163"/>
        <w:gridCol w:w="352"/>
        <w:gridCol w:w="314"/>
        <w:gridCol w:w="316"/>
        <w:gridCol w:w="109"/>
        <w:gridCol w:w="109"/>
        <w:gridCol w:w="109"/>
        <w:gridCol w:w="308"/>
        <w:gridCol w:w="308"/>
        <w:gridCol w:w="186"/>
        <w:gridCol w:w="109"/>
        <w:gridCol w:w="109"/>
        <w:gridCol w:w="109"/>
        <w:gridCol w:w="315"/>
        <w:gridCol w:w="316"/>
        <w:gridCol w:w="178"/>
        <w:gridCol w:w="109"/>
        <w:gridCol w:w="109"/>
        <w:gridCol w:w="109"/>
        <w:gridCol w:w="454"/>
        <w:gridCol w:w="347"/>
        <w:gridCol w:w="416"/>
      </w:tblGrid>
      <w:tr>
        <w:trPr/>
        <w:tc>
          <w:tcPr>
            <w:tcW w:w="76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639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Earnings to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Trailing Twelve</w:t>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Months Ended</w:t>
            </w:r>
          </w:p>
        </w:tc>
      </w:tr>
      <w:tr>
        <w:trPr/>
        <w:tc>
          <w:tcPr>
            <w:tcW w:w="352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27,</w:t>
              <w:br/>
              <w:t>2025</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4,</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w:t>
              <w:br/>
              <w:t>2026</w:t>
            </w:r>
          </w:p>
        </w:tc>
      </w:tr>
      <w:tr>
        <w:trPr/>
        <w:tc>
          <w:tcPr>
            <w:tcW w:w="3525"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including noncontrolling interests</w:t>
            </w:r>
          </w:p>
        </w:tc>
        <w:tc>
          <w:tcPr>
            <w:tcW w:w="3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6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196.1</w:t>
            </w:r>
            <w:r>
              <w:rPr>
                <w:color w:val="000000"/>
              </w:rPr>
              <w:t> </w:t>
            </w:r>
          </w:p>
        </w:tc>
        <w:tc>
          <w:tcPr>
            <w:tcW w:w="17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464.0</w:t>
            </w:r>
            <w:r>
              <w:rPr>
                <w:color w:val="000000"/>
              </w:rPr>
              <w:t> </w:t>
            </w:r>
          </w:p>
        </w:tc>
        <w:tc>
          <w:tcPr>
            <w:tcW w:w="4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tcPr>
          <w:p>
            <w:pPr>
              <w:pStyle w:val="TableContents"/>
              <w:bidi w:val="0"/>
              <w:spacing w:before="0" w:after="283"/>
              <w:jc w:val="left"/>
              <w:rPr>
                <w:sz w:val="4"/>
                <w:szCs w:val="4"/>
              </w:rPr>
            </w:pPr>
            <w:r>
              <w:rPr>
                <w:sz w:val="4"/>
                <w:szCs w:val="4"/>
              </w:rPr>
            </w:r>
          </w:p>
        </w:tc>
      </w:tr>
      <w:tr>
        <w:trPr/>
        <w:tc>
          <w:tcPr>
            <w:tcW w:w="3525"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159.3</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687.7</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EBITDA</w:t>
            </w:r>
          </w:p>
        </w:tc>
        <w:tc>
          <w:tcPr>
            <w:tcW w:w="12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6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412.5</w:t>
            </w:r>
            <w:r>
              <w:rPr>
                <w:color w:val="000000"/>
              </w:rPr>
              <w:t> </w:t>
            </w:r>
          </w:p>
        </w:tc>
        <w:tc>
          <w:tcPr>
            <w:tcW w:w="17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1,255.8</w:t>
            </w:r>
            <w:r>
              <w:rPr>
                <w:color w:val="000000"/>
              </w:rPr>
              <w:t> </w:t>
            </w:r>
          </w:p>
        </w:tc>
        <w:tc>
          <w:tcPr>
            <w:tcW w:w="4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tcPr>
          <w:p>
            <w:pPr>
              <w:pStyle w:val="TableContents"/>
              <w:bidi w:val="0"/>
              <w:spacing w:before="0" w:after="283"/>
              <w:jc w:val="left"/>
              <w:rPr>
                <w:sz w:val="4"/>
                <w:szCs w:val="4"/>
              </w:rPr>
            </w:pPr>
            <w:r>
              <w:rPr>
                <w:sz w:val="4"/>
                <w:szCs w:val="4"/>
              </w:rPr>
            </w:r>
          </w:p>
        </w:tc>
      </w:tr>
      <w:tr>
        <w:trPr/>
        <w:tc>
          <w:tcPr>
            <w:tcW w:w="35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sale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capitalization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indefinite-lived intangibles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reserves and fees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of indemnification asset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1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6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3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437.2</w:t>
            </w:r>
            <w:r>
              <w:rPr>
                <w:color w:val="000000"/>
              </w:rPr>
              <w:t> </w:t>
            </w:r>
          </w:p>
        </w:tc>
        <w:tc>
          <w:tcPr>
            <w:tcW w:w="17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1,397.6</w:t>
            </w:r>
            <w:r>
              <w:rPr>
                <w:color w:val="000000"/>
              </w:rPr>
              <w:t> </w:t>
            </w:r>
          </w:p>
        </w:tc>
        <w:tc>
          <w:tcPr>
            <w:tcW w:w="4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adjusted EBITDA</w:t>
            </w:r>
          </w:p>
        </w:tc>
        <w:tc>
          <w:tcPr>
            <w:tcW w:w="1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41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rFonts w:ascii="Times New Roman;serif" w:hAnsi="Times New Roman;serif"/>
          <w:b w:val="false"/>
          <w:color w:val="000000"/>
          <w:sz w:val="16"/>
        </w:rPr>
        <w:t>Includes accelerated depreciation of $16.4 for Q3 2025, $25.9 for Q4 2025, $30.0 for Q1 2026, and $10.0 for Q2 2026.</w:t>
      </w:r>
    </w:p>
    <w:p>
      <w:pPr>
        <w:pStyle w:val="TextBody"/>
        <w:bidi w:val="0"/>
        <w:spacing w:before="120" w:after="283"/>
        <w:jc w:val="left"/>
        <w:rPr/>
      </w:pPr>
      <w:r>
        <w:rPr/>
      </w:r>
    </w:p>
    <w:tbl>
      <w:tblPr>
        <w:tblW w:w="8454" w:type="dxa"/>
        <w:jc w:val="center"/>
        <w:tblInd w:w="0" w:type="dxa"/>
        <w:tblLayout w:type="fixed"/>
        <w:tblCellMar>
          <w:top w:w="28" w:type="dxa"/>
          <w:left w:w="28" w:type="dxa"/>
          <w:bottom w:w="28" w:type="dxa"/>
          <w:right w:w="28" w:type="dxa"/>
        </w:tblCellMar>
      </w:tblPr>
      <w:tblGrid>
        <w:gridCol w:w="1197"/>
        <w:gridCol w:w="1051"/>
        <w:gridCol w:w="1066"/>
        <w:gridCol w:w="189"/>
        <w:gridCol w:w="189"/>
        <w:gridCol w:w="189"/>
        <w:gridCol w:w="366"/>
        <w:gridCol w:w="1358"/>
        <w:gridCol w:w="189"/>
        <w:gridCol w:w="189"/>
        <w:gridCol w:w="189"/>
        <w:gridCol w:w="189"/>
        <w:gridCol w:w="464"/>
        <w:gridCol w:w="464"/>
        <w:gridCol w:w="466"/>
        <w:gridCol w:w="109"/>
        <w:gridCol w:w="109"/>
        <w:gridCol w:w="109"/>
        <w:gridCol w:w="109"/>
        <w:gridCol w:w="109"/>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5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Net Sales to Adjusted Net Sales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56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56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5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Mohawk 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2,991.4</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5,720.1</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constant shipping days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(130.0)</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constant exchange rates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(188.0)</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sales</w:t>
            </w:r>
          </w:p>
        </w:tc>
        <w:tc>
          <w:tcPr>
            <w:tcW w:w="56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8"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2,943.3</w:t>
            </w:r>
            <w:r>
              <w:rPr>
                <w:color w:val="000000"/>
              </w:rPr>
              <w:t> </w:t>
            </w:r>
          </w:p>
        </w:tc>
        <w:tc>
          <w:tcPr>
            <w:tcW w:w="189"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5,402.1</w:t>
            </w:r>
            <w:r>
              <w:rPr>
                <w:color w:val="000000"/>
              </w:rPr>
              <w:t> </w:t>
            </w:r>
          </w:p>
        </w:tc>
        <w:tc>
          <w:tcPr>
            <w:tcW w:w="466"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5916" w:type="dxa"/>
        <w:jc w:val="center"/>
        <w:tblInd w:w="0" w:type="dxa"/>
        <w:tblLayout w:type="fixed"/>
        <w:tblCellMar>
          <w:top w:w="28" w:type="dxa"/>
          <w:left w:w="28" w:type="dxa"/>
          <w:bottom w:w="28" w:type="dxa"/>
          <w:right w:w="28" w:type="dxa"/>
        </w:tblCellMar>
      </w:tblPr>
      <w:tblGrid>
        <w:gridCol w:w="1197"/>
        <w:gridCol w:w="1048"/>
        <w:gridCol w:w="1070"/>
        <w:gridCol w:w="109"/>
        <w:gridCol w:w="109"/>
        <w:gridCol w:w="109"/>
        <w:gridCol w:w="302"/>
        <w:gridCol w:w="1117"/>
        <w:gridCol w:w="156"/>
        <w:gridCol w:w="109"/>
        <w:gridCol w:w="109"/>
        <w:gridCol w:w="109"/>
        <w:gridCol w:w="109"/>
        <w:gridCol w:w="109"/>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Ceramic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constant shipping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constant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1,172.0</w:t>
            </w:r>
            <w:r>
              <w:rPr>
                <w:color w:val="000000"/>
              </w:rPr>
              <w:t> </w:t>
            </w:r>
          </w:p>
        </w:tc>
        <w:tc>
          <w:tcPr>
            <w:tcW w:w="1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Flooring 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constant shipping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991.5</w:t>
            </w:r>
            <w:r>
              <w:rPr>
                <w:color w:val="000000"/>
              </w:rPr>
              <w:t> </w:t>
            </w:r>
          </w:p>
        </w:tc>
        <w:tc>
          <w:tcPr>
            <w:tcW w:w="1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91" w:type="dxa"/>
        <w:jc w:val="center"/>
        <w:tblInd w:w="0" w:type="dxa"/>
        <w:tblLayout w:type="fixed"/>
        <w:tblCellMar>
          <w:top w:w="28" w:type="dxa"/>
          <w:left w:w="28" w:type="dxa"/>
          <w:bottom w:w="28" w:type="dxa"/>
          <w:right w:w="28" w:type="dxa"/>
        </w:tblCellMar>
      </w:tblPr>
      <w:tblGrid>
        <w:gridCol w:w="1198"/>
        <w:gridCol w:w="1053"/>
        <w:gridCol w:w="1063"/>
        <w:gridCol w:w="109"/>
        <w:gridCol w:w="109"/>
        <w:gridCol w:w="109"/>
        <w:gridCol w:w="211"/>
        <w:gridCol w:w="631"/>
        <w:gridCol w:w="109"/>
        <w:gridCol w:w="109"/>
        <w:gridCol w:w="109"/>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Flooring 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constant exchange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sales</w:t>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779.8</w:t>
            </w:r>
            <w:r>
              <w:rPr>
                <w:color w:val="000000"/>
              </w:rPr>
              <w:t> </w:t>
            </w:r>
          </w:p>
        </w:tc>
        <w:tc>
          <w:tcPr>
            <w:tcW w:w="109"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20"/>
        <w:gridCol w:w="1770"/>
        <w:gridCol w:w="1550"/>
        <w:gridCol w:w="223"/>
        <w:gridCol w:w="223"/>
        <w:gridCol w:w="223"/>
        <w:gridCol w:w="433"/>
        <w:gridCol w:w="1296"/>
        <w:gridCol w:w="223"/>
        <w:gridCol w:w="223"/>
        <w:gridCol w:w="223"/>
        <w:gridCol w:w="223"/>
        <w:gridCol w:w="365"/>
        <w:gridCol w:w="363"/>
        <w:gridCol w:w="361"/>
        <w:gridCol w:w="109"/>
        <w:gridCol w:w="109"/>
        <w:gridCol w:w="109"/>
        <w:gridCol w:w="159"/>
      </w:tblGrid>
      <w:tr>
        <w:trPr/>
        <w:tc>
          <w:tcPr>
            <w:tcW w:w="202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Gross Profit to Adjusted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6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795.1</w:t>
            </w:r>
            <w:r>
              <w:rPr>
                <w:color w:val="000000"/>
              </w:rPr>
              <w:t> </w:t>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gross profit:</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sale</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6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819.5</w:t>
            </w:r>
            <w:r>
              <w:rPr>
                <w:color w:val="000000"/>
              </w:rPr>
              <w:t> </w:t>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6388" w:type="dxa"/>
        <w:jc w:val="center"/>
        <w:tblInd w:w="0" w:type="dxa"/>
        <w:tblLayout w:type="fixed"/>
        <w:tblCellMar>
          <w:top w:w="28" w:type="dxa"/>
          <w:left w:w="28" w:type="dxa"/>
          <w:bottom w:w="28" w:type="dxa"/>
          <w:right w:w="28" w:type="dxa"/>
        </w:tblCellMar>
      </w:tblPr>
      <w:tblGrid>
        <w:gridCol w:w="1358"/>
        <w:gridCol w:w="1191"/>
        <w:gridCol w:w="1200"/>
        <w:gridCol w:w="109"/>
        <w:gridCol w:w="109"/>
        <w:gridCol w:w="109"/>
        <w:gridCol w:w="233"/>
        <w:gridCol w:w="233"/>
        <w:gridCol w:w="301"/>
        <w:gridCol w:w="109"/>
        <w:gridCol w:w="109"/>
        <w:gridCol w:w="109"/>
        <w:gridCol w:w="233"/>
        <w:gridCol w:w="233"/>
        <w:gridCol w:w="271"/>
        <w:gridCol w:w="109"/>
        <w:gridCol w:w="109"/>
        <w:gridCol w:w="109"/>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as a percent of net sales</w:t>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27.4</w:t>
            </w:r>
          </w:p>
        </w:tc>
        <w:tc>
          <w:tcPr>
            <w:tcW w:w="301"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71"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37"/>
        <w:gridCol w:w="1232"/>
        <w:gridCol w:w="1134"/>
        <w:gridCol w:w="338"/>
        <w:gridCol w:w="338"/>
        <w:gridCol w:w="338"/>
        <w:gridCol w:w="655"/>
        <w:gridCol w:w="1960"/>
        <w:gridCol w:w="338"/>
        <w:gridCol w:w="338"/>
        <w:gridCol w:w="338"/>
        <w:gridCol w:w="338"/>
        <w:gridCol w:w="490"/>
        <w:gridCol w:w="345"/>
        <w:gridCol w:w="486"/>
      </w:tblGrid>
      <w:tr>
        <w:trPr/>
        <w:tc>
          <w:tcPr>
            <w:tcW w:w="153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Selling, General and Administrative Expenses to Adjusted Selling, General and Administrative Expenses</w:t>
            </w:r>
          </w:p>
        </w:tc>
      </w:tr>
      <w:tr>
        <w:trPr/>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0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r>
      <w:tr>
        <w:trPr/>
        <w:tc>
          <w:tcPr>
            <w:tcW w:w="390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541.4</w:t>
            </w:r>
            <w:r>
              <w:rPr>
                <w:color w:val="000000"/>
              </w:rPr>
              <w:t> </w:t>
            </w:r>
          </w:p>
        </w:tc>
        <w:tc>
          <w:tcPr>
            <w:tcW w:w="3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4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selling, general and administrative expenses:</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2953"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903"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2953"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reserves and fees</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 expenses</w:t>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529.4</w:t>
            </w:r>
            <w:r>
              <w:rPr>
                <w:color w:val="000000"/>
              </w:rPr>
              <w:t> </w:t>
            </w:r>
          </w:p>
        </w:tc>
        <w:tc>
          <w:tcPr>
            <w:tcW w:w="3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4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23" w:type="dxa"/>
        <w:jc w:val="center"/>
        <w:tblInd w:w="0" w:type="dxa"/>
        <w:tblLayout w:type="fixed"/>
        <w:tblCellMar>
          <w:top w:w="28" w:type="dxa"/>
          <w:left w:w="28" w:type="dxa"/>
          <w:bottom w:w="28" w:type="dxa"/>
          <w:right w:w="28" w:type="dxa"/>
        </w:tblCellMar>
      </w:tblPr>
      <w:tblGrid>
        <w:gridCol w:w="2327"/>
        <w:gridCol w:w="2044"/>
        <w:gridCol w:w="2049"/>
        <w:gridCol w:w="109"/>
        <w:gridCol w:w="109"/>
        <w:gridCol w:w="109"/>
        <w:gridCol w:w="233"/>
        <w:gridCol w:w="233"/>
        <w:gridCol w:w="301"/>
        <w:gridCol w:w="109"/>
        <w:gridCol w:w="109"/>
        <w:gridCol w:w="109"/>
        <w:gridCol w:w="233"/>
        <w:gridCol w:w="233"/>
        <w:gridCol w:w="316"/>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 expenses as a percent of net sales</w:t>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w:t>
            </w:r>
          </w:p>
        </w:tc>
        <w:tc>
          <w:tcPr>
            <w:tcW w:w="301"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16"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78"/>
        <w:gridCol w:w="1633"/>
        <w:gridCol w:w="1123"/>
        <w:gridCol w:w="253"/>
        <w:gridCol w:w="253"/>
        <w:gridCol w:w="253"/>
        <w:gridCol w:w="491"/>
        <w:gridCol w:w="1471"/>
        <w:gridCol w:w="253"/>
        <w:gridCol w:w="253"/>
        <w:gridCol w:w="253"/>
        <w:gridCol w:w="253"/>
        <w:gridCol w:w="365"/>
        <w:gridCol w:w="350"/>
        <w:gridCol w:w="333"/>
        <w:gridCol w:w="109"/>
        <w:gridCol w:w="109"/>
        <w:gridCol w:w="109"/>
        <w:gridCol w:w="163"/>
      </w:tblGrid>
      <w:tr>
        <w:trPr/>
        <w:tc>
          <w:tcPr>
            <w:tcW w:w="217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Operating Income to Adjusted Operating Income</w:t>
            </w:r>
          </w:p>
        </w:tc>
        <w:tc>
          <w:tcPr>
            <w:tcW w:w="490" w:type="dxa"/>
            <w:gridSpan w:val="4"/>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7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Mohawk Consolidated</w:t>
            </w:r>
          </w:p>
        </w:tc>
        <w:tc>
          <w:tcPr>
            <w:tcW w:w="7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253.7</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operating income:</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sale</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reserves and fees</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759"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1"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290.1</w:t>
            </w:r>
            <w:r>
              <w:rPr>
                <w:color w:val="000000"/>
              </w:rPr>
              <w:t> </w:t>
            </w:r>
          </w:p>
        </w:tc>
        <w:tc>
          <w:tcPr>
            <w:tcW w:w="253"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333"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94" w:type="dxa"/>
        <w:jc w:val="left"/>
        <w:tblInd w:w="0" w:type="dxa"/>
        <w:tblLayout w:type="fixed"/>
        <w:tblCellMar>
          <w:top w:w="28" w:type="dxa"/>
          <w:left w:w="28" w:type="dxa"/>
          <w:bottom w:w="28" w:type="dxa"/>
          <w:right w:w="28" w:type="dxa"/>
        </w:tblCellMar>
      </w:tblPr>
      <w:tblGrid>
        <w:gridCol w:w="1541"/>
        <w:gridCol w:w="1357"/>
        <w:gridCol w:w="1362"/>
        <w:gridCol w:w="109"/>
        <w:gridCol w:w="109"/>
        <w:gridCol w:w="109"/>
        <w:gridCol w:w="210"/>
        <w:gridCol w:w="211"/>
        <w:gridCol w:w="301"/>
        <w:gridCol w:w="109"/>
        <w:gridCol w:w="109"/>
        <w:gridCol w:w="109"/>
        <w:gridCol w:w="203"/>
        <w:gridCol w:w="203"/>
        <w:gridCol w:w="271"/>
        <w:gridCol w:w="109"/>
        <w:gridCol w:w="109"/>
        <w:gridCol w:w="109"/>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as a percent of net sales</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301"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tbl>
      <w:tblPr>
        <w:tblW w:w="8000" w:type="dxa"/>
        <w:jc w:val="left"/>
        <w:tblInd w:w="0" w:type="dxa"/>
        <w:tblLayout w:type="fixed"/>
        <w:tblCellMar>
          <w:top w:w="28" w:type="dxa"/>
          <w:left w:w="28" w:type="dxa"/>
          <w:bottom w:w="28" w:type="dxa"/>
          <w:right w:w="28" w:type="dxa"/>
        </w:tblCellMar>
      </w:tblPr>
      <w:tblGrid>
        <w:gridCol w:w="1956"/>
        <w:gridCol w:w="1714"/>
        <w:gridCol w:w="1729"/>
        <w:gridCol w:w="109"/>
        <w:gridCol w:w="109"/>
        <w:gridCol w:w="109"/>
        <w:gridCol w:w="211"/>
        <w:gridCol w:w="526"/>
        <w:gridCol w:w="109"/>
        <w:gridCol w:w="109"/>
        <w:gridCol w:w="109"/>
        <w:gridCol w:w="109"/>
        <w:gridCol w:w="255"/>
        <w:gridCol w:w="256"/>
        <w:gridCol w:w="109"/>
        <w:gridCol w:w="109"/>
        <w:gridCol w:w="109"/>
        <w:gridCol w:w="109"/>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Ceramic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operating income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514" w:type="dxa"/>
        <w:jc w:val="left"/>
        <w:tblInd w:w="0" w:type="dxa"/>
        <w:tblLayout w:type="fixed"/>
        <w:tblCellMar>
          <w:top w:w="28" w:type="dxa"/>
          <w:left w:w="28" w:type="dxa"/>
          <w:bottom w:w="28" w:type="dxa"/>
          <w:right w:w="28" w:type="dxa"/>
        </w:tblCellMar>
      </w:tblPr>
      <w:tblGrid>
        <w:gridCol w:w="1802"/>
        <w:gridCol w:w="1586"/>
        <w:gridCol w:w="1592"/>
        <w:gridCol w:w="109"/>
        <w:gridCol w:w="109"/>
        <w:gridCol w:w="109"/>
        <w:gridCol w:w="210"/>
        <w:gridCol w:w="211"/>
        <w:gridCol w:w="301"/>
        <w:gridCol w:w="109"/>
        <w:gridCol w:w="109"/>
        <w:gridCol w:w="109"/>
        <w:gridCol w:w="203"/>
        <w:gridCol w:w="203"/>
        <w:gridCol w:w="271"/>
        <w:gridCol w:w="109"/>
        <w:gridCol w:w="109"/>
        <w:gridCol w:w="109"/>
        <w:gridCol w:w="154"/>
      </w:tblGrid>
      <w:tr>
        <w:trPr/>
        <w:tc>
          <w:tcPr>
            <w:tcW w:w="180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operating income as a percent of net sales</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301"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105" w:type="dxa"/>
        <w:jc w:val="left"/>
        <w:tblInd w:w="0" w:type="dxa"/>
        <w:tblLayout w:type="fixed"/>
        <w:tblCellMar>
          <w:top w:w="28" w:type="dxa"/>
          <w:left w:w="28" w:type="dxa"/>
          <w:bottom w:w="28" w:type="dxa"/>
          <w:right w:w="28" w:type="dxa"/>
        </w:tblCellMar>
      </w:tblPr>
      <w:tblGrid>
        <w:gridCol w:w="1951"/>
        <w:gridCol w:w="1719"/>
        <w:gridCol w:w="1729"/>
        <w:gridCol w:w="109"/>
        <w:gridCol w:w="109"/>
        <w:gridCol w:w="109"/>
        <w:gridCol w:w="211"/>
        <w:gridCol w:w="631"/>
        <w:gridCol w:w="109"/>
        <w:gridCol w:w="109"/>
        <w:gridCol w:w="109"/>
        <w:gridCol w:w="109"/>
        <w:gridCol w:w="255"/>
        <w:gridCol w:w="256"/>
        <w:gridCol w:w="109"/>
        <w:gridCol w:w="109"/>
        <w:gridCol w:w="109"/>
        <w:gridCol w:w="109"/>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Flooring 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operating income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619" w:type="dxa"/>
        <w:jc w:val="left"/>
        <w:tblInd w:w="0" w:type="dxa"/>
        <w:tblLayout w:type="fixed"/>
        <w:tblCellMar>
          <w:top w:w="28" w:type="dxa"/>
          <w:left w:w="28" w:type="dxa"/>
          <w:bottom w:w="28" w:type="dxa"/>
          <w:right w:w="28" w:type="dxa"/>
        </w:tblCellMar>
      </w:tblPr>
      <w:tblGrid>
        <w:gridCol w:w="1802"/>
        <w:gridCol w:w="1586"/>
        <w:gridCol w:w="1592"/>
        <w:gridCol w:w="109"/>
        <w:gridCol w:w="109"/>
        <w:gridCol w:w="109"/>
        <w:gridCol w:w="263"/>
        <w:gridCol w:w="263"/>
        <w:gridCol w:w="301"/>
        <w:gridCol w:w="109"/>
        <w:gridCol w:w="109"/>
        <w:gridCol w:w="109"/>
        <w:gridCol w:w="203"/>
        <w:gridCol w:w="203"/>
        <w:gridCol w:w="271"/>
        <w:gridCol w:w="109"/>
        <w:gridCol w:w="109"/>
        <w:gridCol w:w="109"/>
        <w:gridCol w:w="154"/>
      </w:tblGrid>
      <w:tr>
        <w:trPr/>
        <w:tc>
          <w:tcPr>
            <w:tcW w:w="180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operating income as a percent of net sales</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301" w:type="dxa"/>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8650" w:type="dxa"/>
        <w:jc w:val="left"/>
        <w:tblInd w:w="0" w:type="dxa"/>
        <w:tblLayout w:type="fixed"/>
        <w:tblCellMar>
          <w:top w:w="28" w:type="dxa"/>
          <w:left w:w="28" w:type="dxa"/>
          <w:bottom w:w="28" w:type="dxa"/>
          <w:right w:w="28" w:type="dxa"/>
        </w:tblCellMar>
      </w:tblPr>
      <w:tblGrid>
        <w:gridCol w:w="1952"/>
        <w:gridCol w:w="1715"/>
        <w:gridCol w:w="1733"/>
        <w:gridCol w:w="109"/>
        <w:gridCol w:w="109"/>
        <w:gridCol w:w="109"/>
        <w:gridCol w:w="250"/>
        <w:gridCol w:w="626"/>
        <w:gridCol w:w="129"/>
        <w:gridCol w:w="114"/>
        <w:gridCol w:w="114"/>
        <w:gridCol w:w="114"/>
        <w:gridCol w:w="364"/>
        <w:gridCol w:w="364"/>
        <w:gridCol w:w="367"/>
        <w:gridCol w:w="109"/>
        <w:gridCol w:w="109"/>
        <w:gridCol w:w="109"/>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Flooring 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operating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w:t>
            </w:r>
            <w:r>
              <w:rPr>
                <w:color w:val="000000"/>
              </w:rPr>
              <w:t>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6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724" w:type="dxa"/>
        <w:jc w:val="left"/>
        <w:tblInd w:w="0" w:type="dxa"/>
        <w:tblLayout w:type="fixed"/>
        <w:tblCellMar>
          <w:top w:w="28" w:type="dxa"/>
          <w:left w:w="28" w:type="dxa"/>
          <w:bottom w:w="28" w:type="dxa"/>
          <w:right w:w="28" w:type="dxa"/>
        </w:tblCellMar>
      </w:tblPr>
      <w:tblGrid>
        <w:gridCol w:w="1802"/>
        <w:gridCol w:w="1586"/>
        <w:gridCol w:w="1592"/>
        <w:gridCol w:w="109"/>
        <w:gridCol w:w="109"/>
        <w:gridCol w:w="109"/>
        <w:gridCol w:w="263"/>
        <w:gridCol w:w="263"/>
        <w:gridCol w:w="301"/>
        <w:gridCol w:w="109"/>
        <w:gridCol w:w="109"/>
        <w:gridCol w:w="109"/>
        <w:gridCol w:w="255"/>
        <w:gridCol w:w="256"/>
        <w:gridCol w:w="271"/>
        <w:gridCol w:w="109"/>
        <w:gridCol w:w="109"/>
        <w:gridCol w:w="109"/>
        <w:gridCol w:w="154"/>
      </w:tblGrid>
      <w:tr>
        <w:trPr/>
        <w:tc>
          <w:tcPr>
            <w:tcW w:w="180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operating income as a percent of net sales</w:t>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301"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17" w:type="dxa"/>
        <w:jc w:val="center"/>
        <w:tblInd w:w="0" w:type="dxa"/>
        <w:tblLayout w:type="fixed"/>
        <w:tblCellMar>
          <w:top w:w="28" w:type="dxa"/>
          <w:left w:w="28" w:type="dxa"/>
          <w:bottom w:w="28" w:type="dxa"/>
          <w:right w:w="28" w:type="dxa"/>
        </w:tblCellMar>
      </w:tblPr>
      <w:tblGrid>
        <w:gridCol w:w="1302"/>
        <w:gridCol w:w="1146"/>
        <w:gridCol w:w="1151"/>
        <w:gridCol w:w="109"/>
        <w:gridCol w:w="211"/>
        <w:gridCol w:w="586"/>
        <w:gridCol w:w="109"/>
        <w:gridCol w:w="109"/>
        <w:gridCol w:w="109"/>
        <w:gridCol w:w="109"/>
        <w:gridCol w:w="293"/>
        <w:gridCol w:w="293"/>
        <w:gridCol w:w="109"/>
        <w:gridCol w:w="109"/>
        <w:gridCol w:w="109"/>
        <w:gridCol w:w="109"/>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and intersegment eliminations</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reserves and fees</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w:t>
            </w:r>
          </w:p>
        </w:tc>
        <w:tc>
          <w:tcPr>
            <w:tcW w:w="109"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4"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3"/>
        <w:gridCol w:w="1345"/>
        <w:gridCol w:w="1248"/>
        <w:gridCol w:w="261"/>
        <w:gridCol w:w="261"/>
        <w:gridCol w:w="261"/>
        <w:gridCol w:w="506"/>
        <w:gridCol w:w="1515"/>
        <w:gridCol w:w="261"/>
        <w:gridCol w:w="261"/>
        <w:gridCol w:w="261"/>
        <w:gridCol w:w="261"/>
        <w:gridCol w:w="378"/>
        <w:gridCol w:w="317"/>
        <w:gridCol w:w="261"/>
        <w:gridCol w:w="109"/>
        <w:gridCol w:w="109"/>
        <w:gridCol w:w="109"/>
        <w:gridCol w:w="109"/>
        <w:gridCol w:w="109"/>
        <w:gridCol w:w="109"/>
        <w:gridCol w:w="109"/>
        <w:gridCol w:w="162"/>
      </w:tblGrid>
      <w:tr>
        <w:trPr/>
        <w:tc>
          <w:tcPr>
            <w:tcW w:w="188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28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Earnings Before Income Taxes to Adjusted Earnings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7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7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248.5</w:t>
            </w:r>
            <w:r>
              <w:rPr>
                <w:color w:val="000000"/>
              </w:rPr>
              <w:t> </w:t>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earnings including noncontrolling interests before income taxes:</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and integration-related and other costs</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sale</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reserves and fees</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of indemnification asset</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before income taxes</w:t>
            </w:r>
          </w:p>
        </w:tc>
        <w:tc>
          <w:tcPr>
            <w:tcW w:w="783"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15"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283.2</w:t>
            </w:r>
            <w:r>
              <w:rPr>
                <w:color w:val="000000"/>
              </w:rPr>
              <w:t> </w:t>
            </w:r>
          </w:p>
        </w:tc>
        <w:tc>
          <w:tcPr>
            <w:tcW w:w="261"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261"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53"/>
        <w:gridCol w:w="1546"/>
        <w:gridCol w:w="1507"/>
        <w:gridCol w:w="269"/>
        <w:gridCol w:w="269"/>
        <w:gridCol w:w="269"/>
        <w:gridCol w:w="522"/>
        <w:gridCol w:w="1301"/>
        <w:gridCol w:w="269"/>
        <w:gridCol w:w="269"/>
        <w:gridCol w:w="269"/>
        <w:gridCol w:w="269"/>
        <w:gridCol w:w="365"/>
        <w:gridCol w:w="320"/>
        <w:gridCol w:w="313"/>
        <w:gridCol w:w="109"/>
        <w:gridCol w:w="109"/>
        <w:gridCol w:w="109"/>
        <w:gridCol w:w="109"/>
        <w:gridCol w:w="159"/>
      </w:tblGrid>
      <w:tr>
        <w:trPr/>
        <w:tc>
          <w:tcPr>
            <w:tcW w:w="185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Income Tax Expense to Adjusted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8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26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income tax expense:</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 adjustments of uncertain tax position</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adjusting items</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tax expense</w:t>
            </w:r>
          </w:p>
        </w:tc>
        <w:tc>
          <w:tcPr>
            <w:tcW w:w="8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59.8</w:t>
            </w:r>
            <w:r>
              <w:rPr>
                <w:color w:val="000000"/>
              </w:rPr>
              <w:t> </w:t>
            </w:r>
          </w:p>
        </w:tc>
        <w:tc>
          <w:tcPr>
            <w:tcW w:w="26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tax expense to adjusted earnings before income taxes</w:t>
            </w:r>
          </w:p>
        </w:tc>
        <w:tc>
          <w:tcPr>
            <w:tcW w:w="80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w:t>
            </w:r>
          </w:p>
        </w:tc>
        <w:tc>
          <w:tcPr>
            <w:tcW w:w="80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1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US GAAP to non-GAAP presentation</w:t>
      </w:r>
    </w:p>
    <w:p>
      <w:pPr>
        <w:pStyle w:val="TextBody"/>
        <w:bidi w:val="0"/>
        <w:spacing w:lineRule="auto" w:line="288" w:before="0" w:after="1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The Company supplements its condensed consolidated financial statements, which are prepared and presented in accordance with US GAAP, with certain non-GAAP financial measures. As required by the Securities and Exchange Commission rules, the tables above present a reconciliation of the Company’s non-GAAP financial measures to the most directly comparable US GAAP measure. Each of the non-GAAP measures set forth above should be considered in addition to the comparable US GAAP measure, and may not be comparable to similarly titled measures reported by other companies. The Company believes these non-GAAP measures, when reconciled to the corresponding US GAAP measure, help its investors as follows: Non-GAAP revenue measures that assist in identifying growth trends and in comparisons of revenue with prior and future periods and non-GAAP profitability measures that assist in understanding the long-term profitability trends of the Company's business and in comparisons of its profits with prior and future periods.</w:t>
      </w:r>
    </w:p>
    <w:p>
      <w:pPr>
        <w:pStyle w:val="TextBody"/>
        <w:bidi w:val="0"/>
        <w:spacing w:lineRule="auto" w:line="288" w:before="0" w:after="1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The Company excludes certain items from its non-GAAP revenue measures because these items can vary dramatically between periods and can obscure underlying business trends. Items excluded from the Company’s non-GAAP revenue measures include: foreign currency transactions and translation; more or fewer shipping days in a period and the impact of acquisitions.</w:t>
      </w:r>
    </w:p>
    <w:p>
      <w:pPr>
        <w:pStyle w:val="TextBody"/>
        <w:bidi w:val="0"/>
        <w:spacing w:lineRule="auto" w:line="288" w:before="0" w:after="1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The Company excludes certain items from its non-GAAP profitability measures because these items may not be indicative of, or are unrelated to, the Company's core operating performance. Items excluded from the Company's non-GAAP profitability measures include: restructuring, acquisition and integration-related and other costs, legal settlements, reserves and fees, impairment of goodwill and indefinite-lived intangibles, acquisition purchase accounting, including inventory step-up from purchase accounting, adjustments of indemnification asset, adjustments of uncertain tax position and European tax restructuring.</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3970</Words>
  <Characters>22842</Characters>
  <CharactersWithSpaces>26469</CharactersWithSpaces>
  <Paragraphs>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